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202FF" w14:textId="6029C06F" w:rsidR="00B70A82" w:rsidRPr="0060429F" w:rsidRDefault="00E820AF" w:rsidP="0060429F">
      <w:pPr>
        <w:jc w:val="center"/>
        <w:rPr>
          <w:b/>
          <w:bCs/>
          <w:sz w:val="28"/>
          <w:szCs w:val="28"/>
        </w:rPr>
      </w:pPr>
      <w:bookmarkStart w:id="0" w:name="_Hlk44435719"/>
      <w:r>
        <w:rPr>
          <w:b/>
          <w:bCs/>
          <w:sz w:val="28"/>
          <w:szCs w:val="28"/>
        </w:rPr>
        <w:t>Certificate examination in International Trade Finance</w:t>
      </w:r>
    </w:p>
    <w:p w14:paraId="7688E7B6" w14:textId="77777777" w:rsidR="00E820AF" w:rsidRDefault="0060429F" w:rsidP="0060429F">
      <w:pPr>
        <w:pBdr>
          <w:top w:val="single" w:sz="4" w:space="1" w:color="auto"/>
          <w:left w:val="single" w:sz="4" w:space="4" w:color="auto"/>
          <w:bottom w:val="single" w:sz="4" w:space="1" w:color="auto"/>
          <w:right w:val="single" w:sz="4" w:space="4" w:color="auto"/>
        </w:pBdr>
        <w:spacing w:after="0" w:line="240" w:lineRule="auto"/>
        <w:ind w:left="1304" w:right="1304"/>
        <w:jc w:val="center"/>
        <w:rPr>
          <w:rFonts w:cstheme="minorHAnsi"/>
          <w:b/>
          <w:bCs/>
          <w:sz w:val="28"/>
          <w:szCs w:val="28"/>
        </w:rPr>
      </w:pPr>
      <w:bookmarkStart w:id="1" w:name="_Hlk44513555"/>
      <w:r w:rsidRPr="00037042">
        <w:rPr>
          <w:rFonts w:cstheme="minorHAnsi"/>
          <w:b/>
          <w:bCs/>
          <w:sz w:val="28"/>
          <w:szCs w:val="28"/>
        </w:rPr>
        <w:t>RBI</w:t>
      </w:r>
      <w:r w:rsidR="00E820AF">
        <w:rPr>
          <w:rFonts w:cstheme="minorHAnsi"/>
          <w:b/>
          <w:bCs/>
          <w:sz w:val="28"/>
          <w:szCs w:val="28"/>
        </w:rPr>
        <w:t xml:space="preserve"> and</w:t>
      </w:r>
      <w:r w:rsidRPr="00037042">
        <w:rPr>
          <w:rFonts w:cstheme="minorHAnsi"/>
          <w:b/>
          <w:bCs/>
          <w:sz w:val="28"/>
          <w:szCs w:val="28"/>
        </w:rPr>
        <w:t xml:space="preserve"> </w:t>
      </w:r>
      <w:proofErr w:type="spellStart"/>
      <w:r w:rsidRPr="00037042">
        <w:rPr>
          <w:rFonts w:cstheme="minorHAnsi"/>
          <w:b/>
          <w:bCs/>
          <w:sz w:val="28"/>
          <w:szCs w:val="28"/>
        </w:rPr>
        <w:t>FEDAI</w:t>
      </w:r>
      <w:proofErr w:type="spellEnd"/>
      <w:r w:rsidRPr="00037042">
        <w:rPr>
          <w:rFonts w:cstheme="minorHAnsi"/>
          <w:b/>
          <w:bCs/>
          <w:sz w:val="28"/>
          <w:szCs w:val="28"/>
        </w:rPr>
        <w:t xml:space="preserve"> Notifications during the period </w:t>
      </w:r>
    </w:p>
    <w:p w14:paraId="0162C399" w14:textId="5BA57BBD" w:rsidR="0060429F" w:rsidRPr="00037042" w:rsidRDefault="0060429F" w:rsidP="0060429F">
      <w:pPr>
        <w:pBdr>
          <w:top w:val="single" w:sz="4" w:space="1" w:color="auto"/>
          <w:left w:val="single" w:sz="4" w:space="4" w:color="auto"/>
          <w:bottom w:val="single" w:sz="4" w:space="1" w:color="auto"/>
          <w:right w:val="single" w:sz="4" w:space="4" w:color="auto"/>
        </w:pBdr>
        <w:spacing w:after="0" w:line="240" w:lineRule="auto"/>
        <w:ind w:left="1304" w:right="1304"/>
        <w:jc w:val="center"/>
        <w:rPr>
          <w:rFonts w:cstheme="minorHAnsi"/>
          <w:b/>
          <w:bCs/>
          <w:sz w:val="28"/>
          <w:szCs w:val="28"/>
        </w:rPr>
      </w:pPr>
      <w:r w:rsidRPr="00037042">
        <w:rPr>
          <w:rFonts w:cstheme="minorHAnsi"/>
          <w:b/>
          <w:bCs/>
          <w:sz w:val="28"/>
          <w:szCs w:val="28"/>
        </w:rPr>
        <w:t>1st January 2020 to 30th June 2020</w:t>
      </w:r>
    </w:p>
    <w:bookmarkEnd w:id="1"/>
    <w:p w14:paraId="44F66C12" w14:textId="77777777" w:rsidR="0060429F" w:rsidRDefault="0060429F" w:rsidP="0060429F">
      <w:pPr>
        <w:spacing w:after="0" w:line="240" w:lineRule="auto"/>
        <w:jc w:val="both"/>
        <w:rPr>
          <w:rFonts w:ascii="Times New Roman" w:hAnsi="Times New Roman" w:cs="Times New Roman"/>
          <w:b/>
          <w:bCs/>
          <w:sz w:val="24"/>
          <w:szCs w:val="24"/>
        </w:rPr>
      </w:pPr>
    </w:p>
    <w:p w14:paraId="4CC90A2D" w14:textId="77777777" w:rsidR="0060429F" w:rsidRDefault="0060429F" w:rsidP="0060429F">
      <w:pPr>
        <w:spacing w:after="0" w:line="240" w:lineRule="auto"/>
        <w:jc w:val="both"/>
        <w:rPr>
          <w:rFonts w:ascii="Times New Roman" w:hAnsi="Times New Roman" w:cs="Times New Roman"/>
          <w:b/>
          <w:bCs/>
          <w:sz w:val="24"/>
          <w:szCs w:val="24"/>
        </w:rPr>
      </w:pPr>
    </w:p>
    <w:p w14:paraId="3D11898B" w14:textId="77777777" w:rsidR="0060429F"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Merchanting Trade Transactions (</w:t>
      </w:r>
      <w:proofErr w:type="spellStart"/>
      <w:r w:rsidRPr="00C902C8">
        <w:rPr>
          <w:rFonts w:ascii="Times New Roman" w:hAnsi="Times New Roman" w:cs="Times New Roman"/>
          <w:b/>
          <w:bCs/>
          <w:sz w:val="24"/>
          <w:szCs w:val="24"/>
        </w:rPr>
        <w:t>MTT</w:t>
      </w:r>
      <w:proofErr w:type="spellEnd"/>
      <w:r w:rsidRPr="00C902C8">
        <w:rPr>
          <w:rFonts w:ascii="Times New Roman" w:hAnsi="Times New Roman" w:cs="Times New Roman"/>
          <w:b/>
          <w:bCs/>
          <w:sz w:val="24"/>
          <w:szCs w:val="24"/>
        </w:rPr>
        <w:t>) – Revised Guidelines</w:t>
      </w:r>
    </w:p>
    <w:p w14:paraId="64D67415" w14:textId="77777777" w:rsidR="0060429F" w:rsidRPr="00C902C8" w:rsidRDefault="0060429F" w:rsidP="0060429F">
      <w:pPr>
        <w:spacing w:after="0" w:line="240" w:lineRule="auto"/>
        <w:jc w:val="both"/>
        <w:rPr>
          <w:rFonts w:ascii="Times New Roman" w:hAnsi="Times New Roman" w:cs="Times New Roman"/>
          <w:b/>
          <w:bCs/>
          <w:sz w:val="24"/>
          <w:szCs w:val="24"/>
        </w:rPr>
      </w:pPr>
    </w:p>
    <w:p w14:paraId="12303AA0"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RBI/2019-20/152 A.P. (DIR Series) Circular </w:t>
      </w:r>
      <w:proofErr w:type="spellStart"/>
      <w:r w:rsidRPr="00C902C8">
        <w:rPr>
          <w:rFonts w:ascii="Times New Roman" w:hAnsi="Times New Roman" w:cs="Times New Roman"/>
          <w:sz w:val="24"/>
          <w:szCs w:val="24"/>
        </w:rPr>
        <w:t>No.20</w:t>
      </w:r>
      <w:proofErr w:type="spellEnd"/>
      <w:r w:rsidRPr="00C902C8">
        <w:rPr>
          <w:rFonts w:ascii="Times New Roman" w:hAnsi="Times New Roman" w:cs="Times New Roman"/>
          <w:sz w:val="24"/>
          <w:szCs w:val="24"/>
        </w:rPr>
        <w:t xml:space="preserve">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January 23, 2020</w:t>
      </w:r>
    </w:p>
    <w:p w14:paraId="5F45BC4D" w14:textId="77777777" w:rsidR="0060429F" w:rsidRPr="00C902C8" w:rsidRDefault="0060429F" w:rsidP="0060429F">
      <w:pPr>
        <w:spacing w:after="0" w:line="240" w:lineRule="auto"/>
        <w:jc w:val="both"/>
        <w:rPr>
          <w:rFonts w:ascii="Times New Roman" w:hAnsi="Times New Roman" w:cs="Times New Roman"/>
          <w:sz w:val="24"/>
          <w:szCs w:val="24"/>
        </w:rPr>
      </w:pPr>
    </w:p>
    <w:p w14:paraId="1155CE50"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23D87B9A"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Category – I Authorised Dealer Banks</w:t>
      </w:r>
    </w:p>
    <w:p w14:paraId="430A80B0" w14:textId="77777777" w:rsidR="0060429F" w:rsidRPr="00C902C8" w:rsidRDefault="0060429F" w:rsidP="0060429F">
      <w:pPr>
        <w:spacing w:after="0" w:line="240" w:lineRule="auto"/>
        <w:jc w:val="both"/>
        <w:rPr>
          <w:rFonts w:ascii="Times New Roman" w:hAnsi="Times New Roman" w:cs="Times New Roman"/>
          <w:sz w:val="24"/>
          <w:szCs w:val="24"/>
        </w:rPr>
      </w:pPr>
    </w:p>
    <w:p w14:paraId="04F7AD31"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Attention of Authorised Dealer Category-I banks (AD banks) is invited to A.P. (DIR Series) Circular </w:t>
      </w:r>
      <w:proofErr w:type="spellStart"/>
      <w:r w:rsidRPr="00C902C8">
        <w:rPr>
          <w:rFonts w:ascii="Times New Roman" w:hAnsi="Times New Roman" w:cs="Times New Roman"/>
          <w:sz w:val="24"/>
          <w:szCs w:val="24"/>
        </w:rPr>
        <w:t>No.115</w:t>
      </w:r>
      <w:proofErr w:type="spellEnd"/>
      <w:r w:rsidRPr="00C902C8">
        <w:rPr>
          <w:rFonts w:ascii="Times New Roman" w:hAnsi="Times New Roman" w:cs="Times New Roman"/>
          <w:sz w:val="24"/>
          <w:szCs w:val="24"/>
        </w:rPr>
        <w:t xml:space="preserve"> dated March 28, 2014 containing directions relating to merchanting trade transactions.</w:t>
      </w:r>
    </w:p>
    <w:p w14:paraId="2CBBEEB1" w14:textId="77777777" w:rsidR="0060429F" w:rsidRPr="00C902C8" w:rsidRDefault="0060429F" w:rsidP="0060429F">
      <w:pPr>
        <w:spacing w:after="0" w:line="240" w:lineRule="auto"/>
        <w:jc w:val="both"/>
        <w:rPr>
          <w:rFonts w:ascii="Times New Roman" w:hAnsi="Times New Roman" w:cs="Times New Roman"/>
          <w:sz w:val="24"/>
          <w:szCs w:val="24"/>
        </w:rPr>
      </w:pPr>
    </w:p>
    <w:p w14:paraId="40C0D77D"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With a view to further facilitate merchanting trade transactions, the existing guidelines have been reviewed and the revised guidelines as under, are being issued in supersession of the A.P. (DIR Series) Circular ibid:</w:t>
      </w:r>
    </w:p>
    <w:p w14:paraId="4117B26C" w14:textId="77777777" w:rsidR="0060429F" w:rsidRPr="00C902C8" w:rsidRDefault="0060429F" w:rsidP="0060429F">
      <w:pPr>
        <w:spacing w:after="0" w:line="240" w:lineRule="auto"/>
        <w:jc w:val="both"/>
        <w:rPr>
          <w:rFonts w:ascii="Times New Roman" w:hAnsi="Times New Roman" w:cs="Times New Roman"/>
          <w:sz w:val="24"/>
          <w:szCs w:val="24"/>
        </w:rPr>
      </w:pPr>
    </w:p>
    <w:p w14:paraId="4524B52C"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For a trade to be classified as merchanting trade, goods acquired shall not enter the Domestic Tariff Area.</w:t>
      </w:r>
    </w:p>
    <w:p w14:paraId="2C472DF4"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Considering that in some cases, the goods acquired may require certain specific processing/ value-addition, the state of goods so acquired may be allowed transformation subject to the AD bank being satisfied with the documentary evidence and </w:t>
      </w:r>
      <w:proofErr w:type="spellStart"/>
      <w:r w:rsidRPr="00C902C8">
        <w:rPr>
          <w:rFonts w:ascii="Times New Roman" w:hAnsi="Times New Roman" w:cs="Times New Roman"/>
          <w:sz w:val="24"/>
          <w:szCs w:val="24"/>
        </w:rPr>
        <w:t>bonafides</w:t>
      </w:r>
      <w:proofErr w:type="spellEnd"/>
      <w:r w:rsidRPr="00C902C8">
        <w:rPr>
          <w:rFonts w:ascii="Times New Roman" w:hAnsi="Times New Roman" w:cs="Times New Roman"/>
          <w:sz w:val="24"/>
          <w:szCs w:val="24"/>
        </w:rPr>
        <w:t xml:space="preserve"> of the transaction.</w:t>
      </w:r>
    </w:p>
    <w:p w14:paraId="41BAC2BB"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shall be undertaken for the goods that are permitted for exports / imports under the prevailing Foreign Trade Policy (FTP) of India as on the date of shipment. All rules, regulations and directions applicable to exports (except Export Declaration Form) and imports (except Bill of Entry) shall be complied with for the export leg and import leg respectively.</w:t>
      </w:r>
    </w:p>
    <w:p w14:paraId="34CD58A6"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AD bank shall satisfy itself with the </w:t>
      </w:r>
      <w:proofErr w:type="spellStart"/>
      <w:r w:rsidRPr="00C902C8">
        <w:rPr>
          <w:rFonts w:ascii="Times New Roman" w:hAnsi="Times New Roman" w:cs="Times New Roman"/>
          <w:sz w:val="24"/>
          <w:szCs w:val="24"/>
        </w:rPr>
        <w:t>bonafides</w:t>
      </w:r>
      <w:proofErr w:type="spellEnd"/>
      <w:r w:rsidRPr="00C902C8">
        <w:rPr>
          <w:rFonts w:ascii="Times New Roman" w:hAnsi="Times New Roman" w:cs="Times New Roman"/>
          <w:sz w:val="24"/>
          <w:szCs w:val="24"/>
        </w:rPr>
        <w:t xml:space="preserve"> of the transactions. Further, KYC and AML guidelines shall be scrupulously adhered to by the AD bank while handling such transactions.</w:t>
      </w:r>
    </w:p>
    <w:p w14:paraId="44CEB48B"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entire merchanting trade is to be routed through the same AD bank. The AD bank shall verify the documents like invoice, packing list, transport documents and insurance documents (if originals are not available, Non-negotiable copies duly authenticated by the bank handling documents may be taken) and satisfy itself about the genuineness of the trade. The AD bank may, if satisfied, rely on online verification of Bill of Lading/ Airway Bill on the website of International Maritime Bureau or Airline web check facilities. However, the AD bank shall ensure that the requisite details are made available /retrievable at the time of Inspection/Audit/investigation of the transactions.</w:t>
      </w:r>
    </w:p>
    <w:p w14:paraId="48F102F9"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entire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shall be completed within an overall period of nine months and there shall not be any outlay of foreign exchange beyond four months. The commencement date of merchanting trade shall be the date of shipment / export leg receipt or import leg payment, whichever is first. The completion date shall be the date of shipment / export leg receipt or import leg payment, whichever is the last.</w:t>
      </w:r>
    </w:p>
    <w:p w14:paraId="610BF96D"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 xml:space="preserve">Short-term credit either by way of suppliers' credit or buyers' credit may be extended for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to the extent not backed by advance remittance for the export leg, including the discounting of export leg LC by the AD bank, as in the case of import transactions. However, Letter of Undertaking (</w:t>
      </w:r>
      <w:proofErr w:type="spellStart"/>
      <w:r w:rsidRPr="00C902C8">
        <w:rPr>
          <w:rFonts w:ascii="Times New Roman" w:hAnsi="Times New Roman" w:cs="Times New Roman"/>
          <w:sz w:val="24"/>
          <w:szCs w:val="24"/>
        </w:rPr>
        <w:t>LoU</w:t>
      </w:r>
      <w:proofErr w:type="spellEnd"/>
      <w:r w:rsidRPr="00C902C8">
        <w:rPr>
          <w:rFonts w:ascii="Times New Roman" w:hAnsi="Times New Roman" w:cs="Times New Roman"/>
          <w:sz w:val="24"/>
          <w:szCs w:val="24"/>
        </w:rPr>
        <w:t>)/ Letter of Comfort (LoC) shall not be issued for supplier’s/ buyer’s credit.</w:t>
      </w:r>
    </w:p>
    <w:p w14:paraId="236CA4D0"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receipts for the export leg, prior to the payment for import leg, may be parked either in Exchange Earners Foreign Currency (</w:t>
      </w:r>
      <w:proofErr w:type="spellStart"/>
      <w:r w:rsidRPr="00C902C8">
        <w:rPr>
          <w:rFonts w:ascii="Times New Roman" w:hAnsi="Times New Roman" w:cs="Times New Roman"/>
          <w:sz w:val="24"/>
          <w:szCs w:val="24"/>
        </w:rPr>
        <w:t>EEFC</w:t>
      </w:r>
      <w:proofErr w:type="spellEnd"/>
      <w:r w:rsidRPr="00C902C8">
        <w:rPr>
          <w:rFonts w:ascii="Times New Roman" w:hAnsi="Times New Roman" w:cs="Times New Roman"/>
          <w:sz w:val="24"/>
          <w:szCs w:val="24"/>
        </w:rPr>
        <w:t>) account or in an interest-bearing INR account till the import leg liability arises. It shall be strictly earmarked/ lien-marked for the payment of import leg and the liability of the import leg, as soon as it arises, shall be extinguished out of these funds without any delay. If such receipts are kept in interest-bearing INR account, hedging thereof may be allowed by the AD bank at the request of its customer, as per extant regulations. No fund/non-fund-based facilities shall be extended against these balances.</w:t>
      </w:r>
    </w:p>
    <w:p w14:paraId="19FB8DB7"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discounting of export leg LC where payment for import leg is still to be made (even if partially), the proceeds shall be utilized in the manner prescribed at point no. 2 (viii) above.</w:t>
      </w:r>
    </w:p>
    <w:p w14:paraId="62786A43"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Payment for import leg may also be allowed to be made out of the balances in </w:t>
      </w:r>
      <w:proofErr w:type="spellStart"/>
      <w:r w:rsidRPr="00C902C8">
        <w:rPr>
          <w:rFonts w:ascii="Times New Roman" w:hAnsi="Times New Roman" w:cs="Times New Roman"/>
          <w:sz w:val="24"/>
          <w:szCs w:val="24"/>
        </w:rPr>
        <w:t>EEFC</w:t>
      </w:r>
      <w:proofErr w:type="spellEnd"/>
      <w:r w:rsidRPr="00C902C8">
        <w:rPr>
          <w:rFonts w:ascii="Times New Roman" w:hAnsi="Times New Roman" w:cs="Times New Roman"/>
          <w:sz w:val="24"/>
          <w:szCs w:val="24"/>
        </w:rPr>
        <w:t xml:space="preserve"> account of the merchant trader.</w:t>
      </w:r>
    </w:p>
    <w:p w14:paraId="409182CD"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Merchanting traders may be allowed to make advance payment for the import leg on demand made by the overseas supplier. In case where inward remittance from the overseas buyer is not received before the outward remittance to the overseas supplier, AD bank may handle such transactions based on its commercial judgement. It may, however, be ensured that any such advance payment for an import leg beyond USD 500,000/- per transaction, shall be made against Bank Guarantee / an unconditional, irrevocable standby Letter of Credit from an international bank of repute. Overall prudential limits on allowing such advance payments by a customer may be fixed by the AD bank.</w:t>
      </w:r>
    </w:p>
    <w:p w14:paraId="2953D2FB"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Letter of Credit to the supplier for the import leg is permitted against confirmed export order, keeping in view the foreign exchange outlay of four months and completion of 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within nine months and subject to compliance with the instructions issued by Department of Banking Regulation on “Guarantees and Co-acceptances”, as amended from time to time.</w:t>
      </w:r>
    </w:p>
    <w:p w14:paraId="0FD1BF3A"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AD bank shall ensure one-to-one matching in case of each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and report defaults in any leg by the traders to the concerned Regional Office of the Reserve Bank, on half yearly basis in the format as annexed, within 15 days from the close of each half year, i.e. June and December;</w:t>
      </w:r>
    </w:p>
    <w:p w14:paraId="7CA1D7F4"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Merchant traders with outstanding of 5% or more of their annual export earnings shall be liable for caution listing.</w:t>
      </w:r>
    </w:p>
    <w:p w14:paraId="67E69B35" w14:textId="77777777" w:rsidR="0060429F" w:rsidRPr="00C902C8" w:rsidRDefault="0060429F" w:rsidP="0060429F">
      <w:pPr>
        <w:spacing w:after="0" w:line="240" w:lineRule="auto"/>
        <w:jc w:val="both"/>
        <w:rPr>
          <w:rFonts w:ascii="Times New Roman" w:hAnsi="Times New Roman" w:cs="Times New Roman"/>
          <w:sz w:val="24"/>
          <w:szCs w:val="24"/>
        </w:rPr>
      </w:pPr>
    </w:p>
    <w:p w14:paraId="14DD2BEE"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The merchanting traders shall be genuine traders of goods and not mere financial intermediaries. Confirmed orders must be received by them from the overseas buyers. AD banks shall satisfy themselves about the capabilities of the merchanting trader to perform the obligations under the order. The merchanting trade shall result in profit which shall be determined by subtracting import payments and related expenses from export proceeds for the specific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w:t>
      </w:r>
    </w:p>
    <w:p w14:paraId="03EAFD9D" w14:textId="77777777" w:rsidR="0060429F" w:rsidRPr="00C902C8" w:rsidRDefault="0060429F" w:rsidP="0060429F">
      <w:pPr>
        <w:spacing w:after="0" w:line="240" w:lineRule="auto"/>
        <w:jc w:val="both"/>
        <w:rPr>
          <w:rFonts w:ascii="Times New Roman" w:hAnsi="Times New Roman" w:cs="Times New Roman"/>
          <w:sz w:val="24"/>
          <w:szCs w:val="24"/>
        </w:rPr>
      </w:pPr>
    </w:p>
    <w:p w14:paraId="691033B1"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Write-off of unrealized amount of export leg:</w:t>
      </w:r>
    </w:p>
    <w:p w14:paraId="2D9C0E54" w14:textId="77777777" w:rsidR="0060429F" w:rsidRPr="00C902C8" w:rsidRDefault="0060429F" w:rsidP="0060429F">
      <w:pPr>
        <w:spacing w:after="0" w:line="240" w:lineRule="auto"/>
        <w:jc w:val="both"/>
        <w:rPr>
          <w:rFonts w:ascii="Times New Roman" w:hAnsi="Times New Roman" w:cs="Times New Roman"/>
          <w:sz w:val="24"/>
          <w:szCs w:val="24"/>
        </w:rPr>
      </w:pPr>
    </w:p>
    <w:p w14:paraId="56DE7E1D" w14:textId="77777777" w:rsidR="0060429F" w:rsidRPr="00C902C8" w:rsidRDefault="0060429F" w:rsidP="0060429F">
      <w:p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AD bank may write-off the unrealized amount of export leg, without any ceiling, on the request made by the Merchanting trader, in the following circumstances:</w:t>
      </w:r>
    </w:p>
    <w:p w14:paraId="3098F0F5" w14:textId="77777777" w:rsidR="0060429F" w:rsidRPr="00C902C8" w:rsidRDefault="0060429F" w:rsidP="0060429F">
      <w:pPr>
        <w:spacing w:after="0" w:line="240" w:lineRule="auto"/>
        <w:jc w:val="both"/>
        <w:rPr>
          <w:rFonts w:ascii="Times New Roman" w:hAnsi="Times New Roman" w:cs="Times New Roman"/>
          <w:sz w:val="24"/>
          <w:szCs w:val="24"/>
        </w:rPr>
      </w:pPr>
    </w:p>
    <w:p w14:paraId="7660B959" w14:textId="77777777" w:rsidR="0060429F" w:rsidRPr="00C902C8" w:rsidRDefault="0060429F" w:rsidP="0060429F">
      <w:pPr>
        <w:pStyle w:val="ListParagraph"/>
        <w:numPr>
          <w:ilvl w:val="0"/>
          <w:numId w:val="3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buyer has been declared insolvent and a certificate from the official liquidator specifying that there is no possibility of recovery of export proceeds has been produced.</w:t>
      </w:r>
    </w:p>
    <w:p w14:paraId="77B37D12" w14:textId="77777777" w:rsidR="0060429F" w:rsidRPr="00C902C8" w:rsidRDefault="0060429F" w:rsidP="0060429F">
      <w:pPr>
        <w:spacing w:after="0" w:line="240" w:lineRule="auto"/>
        <w:jc w:val="both"/>
        <w:rPr>
          <w:rFonts w:ascii="Times New Roman" w:hAnsi="Times New Roman" w:cs="Times New Roman"/>
          <w:sz w:val="24"/>
          <w:szCs w:val="24"/>
        </w:rPr>
      </w:pPr>
    </w:p>
    <w:p w14:paraId="3BD2118D" w14:textId="77777777" w:rsidR="0060429F" w:rsidRPr="00C902C8" w:rsidRDefault="0060429F" w:rsidP="0060429F">
      <w:pPr>
        <w:pStyle w:val="ListParagraph"/>
        <w:numPr>
          <w:ilvl w:val="0"/>
          <w:numId w:val="3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goods exported have been auctioned or destroyed by the Port / Customs / Health authorities in the importing country and a certificate to that effect has been produced.</w:t>
      </w:r>
    </w:p>
    <w:p w14:paraId="04F82B5D" w14:textId="77777777" w:rsidR="0060429F" w:rsidRPr="00C902C8" w:rsidRDefault="0060429F" w:rsidP="0060429F">
      <w:pPr>
        <w:spacing w:after="0" w:line="240" w:lineRule="auto"/>
        <w:jc w:val="both"/>
        <w:rPr>
          <w:rFonts w:ascii="Times New Roman" w:hAnsi="Times New Roman" w:cs="Times New Roman"/>
          <w:sz w:val="24"/>
          <w:szCs w:val="24"/>
        </w:rPr>
      </w:pPr>
    </w:p>
    <w:p w14:paraId="3FA439CB" w14:textId="77777777" w:rsidR="0060429F" w:rsidRPr="00C902C8" w:rsidRDefault="0060429F" w:rsidP="0060429F">
      <w:pPr>
        <w:pStyle w:val="ListParagraph"/>
        <w:numPr>
          <w:ilvl w:val="0"/>
          <w:numId w:val="3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unrealized amount of the export leg represents the balance due in a case settled through the intervention of the Indian Embassy, Foreign Chamber of Commerce or similar Organization;</w:t>
      </w:r>
    </w:p>
    <w:p w14:paraId="1A4A04A1" w14:textId="77777777" w:rsidR="0060429F" w:rsidRPr="00C902C8" w:rsidRDefault="0060429F" w:rsidP="0060429F">
      <w:pPr>
        <w:spacing w:after="0" w:line="240" w:lineRule="auto"/>
        <w:jc w:val="both"/>
        <w:rPr>
          <w:rFonts w:ascii="Times New Roman" w:hAnsi="Times New Roman" w:cs="Times New Roman"/>
          <w:sz w:val="24"/>
          <w:szCs w:val="24"/>
        </w:rPr>
      </w:pPr>
    </w:p>
    <w:p w14:paraId="24A04CD6"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provided, 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is in adherence to all other provisions except the delays in timelines (either for outlay or completion period of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or both) attributed to reasons mentioned at a, b and c above.</w:t>
      </w:r>
    </w:p>
    <w:p w14:paraId="34B077FF" w14:textId="77777777" w:rsidR="0060429F" w:rsidRPr="00C902C8" w:rsidRDefault="0060429F" w:rsidP="0060429F">
      <w:pPr>
        <w:spacing w:after="0" w:line="240" w:lineRule="auto"/>
        <w:jc w:val="both"/>
        <w:rPr>
          <w:rFonts w:ascii="Times New Roman" w:hAnsi="Times New Roman" w:cs="Times New Roman"/>
          <w:sz w:val="24"/>
          <w:szCs w:val="24"/>
        </w:rPr>
      </w:pPr>
    </w:p>
    <w:p w14:paraId="70F84BB3"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In addition to above, write-off as at (</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shall be subject to following conditions:</w:t>
      </w:r>
    </w:p>
    <w:p w14:paraId="007CF89C" w14:textId="77777777" w:rsidR="0060429F" w:rsidRPr="00C902C8" w:rsidRDefault="0060429F" w:rsidP="0060429F">
      <w:pPr>
        <w:spacing w:after="0" w:line="240" w:lineRule="auto"/>
        <w:jc w:val="both"/>
        <w:rPr>
          <w:rFonts w:ascii="Times New Roman" w:hAnsi="Times New Roman" w:cs="Times New Roman"/>
          <w:sz w:val="24"/>
          <w:szCs w:val="24"/>
        </w:rPr>
      </w:pPr>
    </w:p>
    <w:p w14:paraId="555A1F69" w14:textId="77777777" w:rsidR="0060429F" w:rsidRPr="00C902C8" w:rsidRDefault="0060429F" w:rsidP="0060429F">
      <w:pPr>
        <w:pStyle w:val="ListParagraph"/>
        <w:numPr>
          <w:ilvl w:val="0"/>
          <w:numId w:val="3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AD bank shall satisfy itself with the </w:t>
      </w:r>
      <w:proofErr w:type="spellStart"/>
      <w:r w:rsidRPr="00C902C8">
        <w:rPr>
          <w:rFonts w:ascii="Times New Roman" w:hAnsi="Times New Roman" w:cs="Times New Roman"/>
          <w:sz w:val="24"/>
          <w:szCs w:val="24"/>
        </w:rPr>
        <w:t>bonafides</w:t>
      </w:r>
      <w:proofErr w:type="spellEnd"/>
      <w:r w:rsidRPr="00C902C8">
        <w:rPr>
          <w:rFonts w:ascii="Times New Roman" w:hAnsi="Times New Roman" w:cs="Times New Roman"/>
          <w:sz w:val="24"/>
          <w:szCs w:val="24"/>
        </w:rPr>
        <w:t xml:space="preserve"> of the transactions and ensure that there are no KYC/AML concerns.</w:t>
      </w:r>
    </w:p>
    <w:p w14:paraId="7D73D576" w14:textId="77777777" w:rsidR="0060429F" w:rsidRPr="00C902C8" w:rsidRDefault="0060429F" w:rsidP="0060429F">
      <w:pPr>
        <w:spacing w:after="0" w:line="240" w:lineRule="auto"/>
        <w:jc w:val="both"/>
        <w:rPr>
          <w:rFonts w:ascii="Times New Roman" w:hAnsi="Times New Roman" w:cs="Times New Roman"/>
          <w:sz w:val="24"/>
          <w:szCs w:val="24"/>
        </w:rPr>
      </w:pPr>
    </w:p>
    <w:p w14:paraId="5FD0FEC2" w14:textId="77777777" w:rsidR="0060429F" w:rsidRPr="00C902C8" w:rsidRDefault="0060429F" w:rsidP="0060429F">
      <w:pPr>
        <w:pStyle w:val="ListParagraph"/>
        <w:numPr>
          <w:ilvl w:val="0"/>
          <w:numId w:val="3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transaction shall not be under investigation under FEMA by any of the investigating agency/</w:t>
      </w:r>
      <w:proofErr w:type="spellStart"/>
      <w:r w:rsidRPr="00C902C8">
        <w:rPr>
          <w:rFonts w:ascii="Times New Roman" w:hAnsi="Times New Roman" w:cs="Times New Roman"/>
          <w:sz w:val="24"/>
          <w:szCs w:val="24"/>
        </w:rPr>
        <w:t>ies</w:t>
      </w:r>
      <w:proofErr w:type="spellEnd"/>
      <w:r w:rsidRPr="00C902C8">
        <w:rPr>
          <w:rFonts w:ascii="Times New Roman" w:hAnsi="Times New Roman" w:cs="Times New Roman"/>
          <w:sz w:val="24"/>
          <w:szCs w:val="24"/>
        </w:rPr>
        <w:t>.</w:t>
      </w:r>
    </w:p>
    <w:p w14:paraId="6FCA5215" w14:textId="77777777" w:rsidR="0060429F" w:rsidRPr="00C902C8" w:rsidRDefault="0060429F" w:rsidP="0060429F">
      <w:pPr>
        <w:spacing w:after="0" w:line="240" w:lineRule="auto"/>
        <w:jc w:val="both"/>
        <w:rPr>
          <w:rFonts w:ascii="Times New Roman" w:hAnsi="Times New Roman" w:cs="Times New Roman"/>
          <w:sz w:val="24"/>
          <w:szCs w:val="24"/>
        </w:rPr>
      </w:pPr>
    </w:p>
    <w:p w14:paraId="3FBBE844" w14:textId="77777777" w:rsidR="0060429F" w:rsidRPr="00C902C8" w:rsidRDefault="0060429F" w:rsidP="0060429F">
      <w:pPr>
        <w:pStyle w:val="ListParagraph"/>
        <w:numPr>
          <w:ilvl w:val="0"/>
          <w:numId w:val="3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counterparty to the merchant trader is not from a country or jurisdiction in the updated </w:t>
      </w:r>
      <w:proofErr w:type="spellStart"/>
      <w:r w:rsidRPr="00C902C8">
        <w:rPr>
          <w:rFonts w:ascii="Times New Roman" w:hAnsi="Times New Roman" w:cs="Times New Roman"/>
          <w:sz w:val="24"/>
          <w:szCs w:val="24"/>
        </w:rPr>
        <w:t>FATF</w:t>
      </w:r>
      <w:proofErr w:type="spellEnd"/>
      <w:r w:rsidRPr="00C902C8">
        <w:rPr>
          <w:rFonts w:ascii="Times New Roman" w:hAnsi="Times New Roman" w:cs="Times New Roman"/>
          <w:sz w:val="24"/>
          <w:szCs w:val="24"/>
        </w:rPr>
        <w:t xml:space="preserve"> Public Statement on High Risk &amp; Non-Co-operative Jurisdictions on which </w:t>
      </w:r>
      <w:proofErr w:type="spellStart"/>
      <w:r w:rsidRPr="00C902C8">
        <w:rPr>
          <w:rFonts w:ascii="Times New Roman" w:hAnsi="Times New Roman" w:cs="Times New Roman"/>
          <w:sz w:val="24"/>
          <w:szCs w:val="24"/>
        </w:rPr>
        <w:t>FATF</w:t>
      </w:r>
      <w:proofErr w:type="spellEnd"/>
      <w:r w:rsidRPr="00C902C8">
        <w:rPr>
          <w:rFonts w:ascii="Times New Roman" w:hAnsi="Times New Roman" w:cs="Times New Roman"/>
          <w:sz w:val="24"/>
          <w:szCs w:val="24"/>
        </w:rPr>
        <w:t xml:space="preserve"> has called for counter measures.</w:t>
      </w:r>
    </w:p>
    <w:p w14:paraId="26CA3D44" w14:textId="77777777" w:rsidR="0060429F" w:rsidRPr="00C902C8" w:rsidRDefault="0060429F" w:rsidP="0060429F">
      <w:pPr>
        <w:spacing w:after="0" w:line="240" w:lineRule="auto"/>
        <w:jc w:val="both"/>
        <w:rPr>
          <w:rFonts w:ascii="Times New Roman" w:hAnsi="Times New Roman" w:cs="Times New Roman"/>
          <w:sz w:val="24"/>
          <w:szCs w:val="24"/>
        </w:rPr>
      </w:pPr>
    </w:p>
    <w:p w14:paraId="379D14E6"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5. Third party payments for export and import legs of 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are not allowed.</w:t>
      </w:r>
    </w:p>
    <w:p w14:paraId="20378211" w14:textId="77777777" w:rsidR="0060429F" w:rsidRPr="00C902C8" w:rsidRDefault="0060429F" w:rsidP="0060429F">
      <w:pPr>
        <w:spacing w:after="0" w:line="240" w:lineRule="auto"/>
        <w:jc w:val="both"/>
        <w:rPr>
          <w:rFonts w:ascii="Times New Roman" w:hAnsi="Times New Roman" w:cs="Times New Roman"/>
          <w:sz w:val="24"/>
          <w:szCs w:val="24"/>
        </w:rPr>
      </w:pPr>
    </w:p>
    <w:p w14:paraId="0C8576B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6. Agency commission is not allowed in </w:t>
      </w:r>
      <w:proofErr w:type="spellStart"/>
      <w:r w:rsidRPr="00C902C8">
        <w:rPr>
          <w:rFonts w:ascii="Times New Roman" w:hAnsi="Times New Roman" w:cs="Times New Roman"/>
          <w:sz w:val="24"/>
          <w:szCs w:val="24"/>
        </w:rPr>
        <w:t>MTTs</w:t>
      </w:r>
      <w:proofErr w:type="spellEnd"/>
      <w:r w:rsidRPr="00C902C8">
        <w:rPr>
          <w:rFonts w:ascii="Times New Roman" w:hAnsi="Times New Roman" w:cs="Times New Roman"/>
          <w:sz w:val="24"/>
          <w:szCs w:val="24"/>
        </w:rPr>
        <w:t>. However, AD banks may allow payment of agency commission up to a reasonable extent by way of outward remittance under exceptional circumstances, subject to the following conditions:</w:t>
      </w:r>
    </w:p>
    <w:p w14:paraId="7728B261" w14:textId="77777777" w:rsidR="0060429F" w:rsidRPr="00C902C8" w:rsidRDefault="0060429F" w:rsidP="0060429F">
      <w:pPr>
        <w:spacing w:after="0" w:line="240" w:lineRule="auto"/>
        <w:jc w:val="both"/>
        <w:rPr>
          <w:rFonts w:ascii="Times New Roman" w:hAnsi="Times New Roman" w:cs="Times New Roman"/>
          <w:sz w:val="24"/>
          <w:szCs w:val="24"/>
        </w:rPr>
      </w:pPr>
    </w:p>
    <w:p w14:paraId="6F503A42" w14:textId="77777777" w:rsidR="0060429F" w:rsidRPr="00C902C8" w:rsidRDefault="0060429F" w:rsidP="0060429F">
      <w:pPr>
        <w:pStyle w:val="ListParagraph"/>
        <w:numPr>
          <w:ilvl w:val="0"/>
          <w:numId w:val="33"/>
        </w:num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has been completed in all respects.</w:t>
      </w:r>
    </w:p>
    <w:p w14:paraId="73D7DC1A" w14:textId="77777777" w:rsidR="0060429F" w:rsidRPr="00C902C8" w:rsidRDefault="0060429F" w:rsidP="0060429F">
      <w:pPr>
        <w:spacing w:after="0" w:line="240" w:lineRule="auto"/>
        <w:jc w:val="both"/>
        <w:rPr>
          <w:rFonts w:ascii="Times New Roman" w:hAnsi="Times New Roman" w:cs="Times New Roman"/>
          <w:sz w:val="24"/>
          <w:szCs w:val="24"/>
        </w:rPr>
      </w:pPr>
    </w:p>
    <w:p w14:paraId="3B23C177" w14:textId="77777777" w:rsidR="0060429F" w:rsidRPr="00C902C8" w:rsidRDefault="0060429F" w:rsidP="0060429F">
      <w:pPr>
        <w:pStyle w:val="ListParagraph"/>
        <w:numPr>
          <w:ilvl w:val="0"/>
          <w:numId w:val="3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payment of agency commission shall not result in 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ending into a loss.</w:t>
      </w:r>
    </w:p>
    <w:p w14:paraId="65C1BAFC" w14:textId="77777777" w:rsidR="0060429F" w:rsidRPr="00C902C8" w:rsidRDefault="0060429F" w:rsidP="0060429F">
      <w:pPr>
        <w:spacing w:after="0" w:line="240" w:lineRule="auto"/>
        <w:jc w:val="both"/>
        <w:rPr>
          <w:rFonts w:ascii="Times New Roman" w:hAnsi="Times New Roman" w:cs="Times New Roman"/>
          <w:sz w:val="24"/>
          <w:szCs w:val="24"/>
        </w:rPr>
      </w:pPr>
    </w:p>
    <w:p w14:paraId="542F3DB2" w14:textId="77777777" w:rsidR="0060429F" w:rsidRPr="00C902C8" w:rsidRDefault="0060429F" w:rsidP="0060429F">
      <w:pPr>
        <w:pStyle w:val="ListParagraph"/>
        <w:numPr>
          <w:ilvl w:val="0"/>
          <w:numId w:val="3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Merchanting trader shall make a specific request to the AD bank in this regard.</w:t>
      </w:r>
    </w:p>
    <w:p w14:paraId="335EC1F0" w14:textId="77777777" w:rsidR="0060429F" w:rsidRPr="00C902C8" w:rsidRDefault="0060429F" w:rsidP="0060429F">
      <w:pPr>
        <w:spacing w:after="0" w:line="240" w:lineRule="auto"/>
        <w:jc w:val="both"/>
        <w:rPr>
          <w:rFonts w:ascii="Times New Roman" w:hAnsi="Times New Roman" w:cs="Times New Roman"/>
          <w:sz w:val="24"/>
          <w:szCs w:val="24"/>
        </w:rPr>
      </w:pPr>
    </w:p>
    <w:p w14:paraId="5542D9B8"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7. AD bank may approach Regional Office (RO) concerned of the Reserve Bank for regularization of 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for deviation, if any, from the prescribed guidelines and 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shall be closed only after receiving approval from the RO concerned of the Reserve Bank.</w:t>
      </w:r>
    </w:p>
    <w:p w14:paraId="00A75744" w14:textId="77777777" w:rsidR="0060429F" w:rsidRPr="00C902C8" w:rsidRDefault="0060429F" w:rsidP="0060429F">
      <w:pPr>
        <w:spacing w:after="0" w:line="240" w:lineRule="auto"/>
        <w:jc w:val="both"/>
        <w:rPr>
          <w:rFonts w:ascii="Times New Roman" w:hAnsi="Times New Roman" w:cs="Times New Roman"/>
          <w:sz w:val="24"/>
          <w:szCs w:val="24"/>
        </w:rPr>
      </w:pPr>
    </w:p>
    <w:p w14:paraId="2ECB8300"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8. Reporting for merchanting trade transactions under </w:t>
      </w:r>
      <w:proofErr w:type="spellStart"/>
      <w:r w:rsidRPr="00C902C8">
        <w:rPr>
          <w:rFonts w:ascii="Times New Roman" w:hAnsi="Times New Roman" w:cs="Times New Roman"/>
          <w:sz w:val="24"/>
          <w:szCs w:val="24"/>
        </w:rPr>
        <w:t>FETERS</w:t>
      </w:r>
      <w:proofErr w:type="spellEnd"/>
      <w:r w:rsidRPr="00C902C8">
        <w:rPr>
          <w:rFonts w:ascii="Times New Roman" w:hAnsi="Times New Roman" w:cs="Times New Roman"/>
          <w:sz w:val="24"/>
          <w:szCs w:val="24"/>
        </w:rPr>
        <w:t xml:space="preserve"> shall be done on gross basis, against the undermentioned codes:</w:t>
      </w:r>
    </w:p>
    <w:p w14:paraId="506D72CA" w14:textId="77777777" w:rsidR="0060429F" w:rsidRPr="00C902C8" w:rsidRDefault="0060429F" w:rsidP="0060429F">
      <w:pPr>
        <w:spacing w:after="0" w:line="240" w:lineRule="auto"/>
        <w:jc w:val="both"/>
        <w:rPr>
          <w:rFonts w:ascii="Times New Roman" w:hAnsi="Times New Roman" w:cs="Times New Roman"/>
          <w:sz w:val="24"/>
          <w:szCs w:val="24"/>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3"/>
        <w:gridCol w:w="1916"/>
        <w:gridCol w:w="4675"/>
      </w:tblGrid>
      <w:tr w:rsidR="0060429F" w:rsidRPr="00C902C8" w14:paraId="2FE8B100" w14:textId="77777777" w:rsidTr="00152D76">
        <w:trPr>
          <w:jc w:val="center"/>
        </w:trPr>
        <w:tc>
          <w:tcPr>
            <w:tcW w:w="700" w:type="pct"/>
            <w:tcMar>
              <w:top w:w="0" w:type="dxa"/>
              <w:left w:w="45" w:type="dxa"/>
              <w:bottom w:w="0" w:type="dxa"/>
              <w:right w:w="45" w:type="dxa"/>
            </w:tcMar>
            <w:vAlign w:val="center"/>
            <w:hideMark/>
          </w:tcPr>
          <w:p w14:paraId="11D981EB" w14:textId="77777777" w:rsidR="0060429F" w:rsidRPr="00C902C8" w:rsidRDefault="0060429F" w:rsidP="00152D76">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Trade</w:t>
            </w:r>
          </w:p>
        </w:tc>
        <w:tc>
          <w:tcPr>
            <w:tcW w:w="1250" w:type="pct"/>
            <w:tcMar>
              <w:top w:w="0" w:type="dxa"/>
              <w:left w:w="45" w:type="dxa"/>
              <w:bottom w:w="0" w:type="dxa"/>
              <w:right w:w="45" w:type="dxa"/>
            </w:tcMar>
            <w:vAlign w:val="center"/>
            <w:hideMark/>
          </w:tcPr>
          <w:p w14:paraId="6059DDF3" w14:textId="77777777" w:rsidR="0060429F" w:rsidRPr="00C902C8" w:rsidRDefault="0060429F" w:rsidP="00152D76">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 xml:space="preserve">Purpose Code under </w:t>
            </w:r>
            <w:proofErr w:type="spellStart"/>
            <w:r w:rsidRPr="00C902C8">
              <w:rPr>
                <w:rFonts w:ascii="Times New Roman" w:eastAsia="Times New Roman" w:hAnsi="Times New Roman" w:cs="Times New Roman"/>
                <w:b/>
                <w:bCs/>
                <w:color w:val="000000"/>
                <w:sz w:val="24"/>
                <w:szCs w:val="24"/>
                <w:lang w:eastAsia="en-IN"/>
              </w:rPr>
              <w:t>FETERS</w:t>
            </w:r>
            <w:proofErr w:type="spellEnd"/>
          </w:p>
        </w:tc>
        <w:tc>
          <w:tcPr>
            <w:tcW w:w="3050" w:type="pct"/>
            <w:tcMar>
              <w:top w:w="0" w:type="dxa"/>
              <w:left w:w="45" w:type="dxa"/>
              <w:bottom w:w="0" w:type="dxa"/>
              <w:right w:w="45" w:type="dxa"/>
            </w:tcMar>
            <w:vAlign w:val="center"/>
            <w:hideMark/>
          </w:tcPr>
          <w:p w14:paraId="72A49B5A" w14:textId="77777777" w:rsidR="0060429F" w:rsidRPr="00C902C8" w:rsidRDefault="0060429F" w:rsidP="00152D76">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Description</w:t>
            </w:r>
          </w:p>
        </w:tc>
      </w:tr>
      <w:tr w:rsidR="0060429F" w:rsidRPr="00C902C8" w14:paraId="1B9E4A01" w14:textId="77777777" w:rsidTr="00152D76">
        <w:trPr>
          <w:jc w:val="center"/>
        </w:trPr>
        <w:tc>
          <w:tcPr>
            <w:tcW w:w="0" w:type="auto"/>
            <w:tcMar>
              <w:top w:w="0" w:type="dxa"/>
              <w:left w:w="45" w:type="dxa"/>
              <w:bottom w:w="0" w:type="dxa"/>
              <w:right w:w="45" w:type="dxa"/>
            </w:tcMar>
            <w:vAlign w:val="center"/>
            <w:hideMark/>
          </w:tcPr>
          <w:p w14:paraId="0CDB16A8" w14:textId="77777777" w:rsidR="0060429F" w:rsidRPr="00C902C8" w:rsidRDefault="0060429F" w:rsidP="00152D76">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Export</w:t>
            </w:r>
          </w:p>
        </w:tc>
        <w:tc>
          <w:tcPr>
            <w:tcW w:w="0" w:type="auto"/>
            <w:tcMar>
              <w:top w:w="0" w:type="dxa"/>
              <w:left w:w="45" w:type="dxa"/>
              <w:bottom w:w="0" w:type="dxa"/>
              <w:right w:w="45" w:type="dxa"/>
            </w:tcMar>
            <w:vAlign w:val="center"/>
            <w:hideMark/>
          </w:tcPr>
          <w:p w14:paraId="4C00F3B6" w14:textId="77777777" w:rsidR="0060429F" w:rsidRPr="00C902C8" w:rsidRDefault="0060429F" w:rsidP="00152D76">
            <w:pPr>
              <w:spacing w:after="0" w:line="240" w:lineRule="auto"/>
              <w:jc w:val="both"/>
              <w:rPr>
                <w:rFonts w:ascii="Times New Roman" w:eastAsia="Times New Roman" w:hAnsi="Times New Roman" w:cs="Times New Roman"/>
                <w:color w:val="000000"/>
                <w:sz w:val="24"/>
                <w:szCs w:val="24"/>
                <w:lang w:eastAsia="en-IN"/>
              </w:rPr>
            </w:pPr>
            <w:proofErr w:type="spellStart"/>
            <w:r w:rsidRPr="00C902C8">
              <w:rPr>
                <w:rFonts w:ascii="Times New Roman" w:eastAsia="Times New Roman" w:hAnsi="Times New Roman" w:cs="Times New Roman"/>
                <w:color w:val="000000"/>
                <w:sz w:val="24"/>
                <w:szCs w:val="24"/>
                <w:lang w:eastAsia="en-IN"/>
              </w:rPr>
              <w:t>P0108</w:t>
            </w:r>
            <w:proofErr w:type="spellEnd"/>
          </w:p>
        </w:tc>
        <w:tc>
          <w:tcPr>
            <w:tcW w:w="0" w:type="auto"/>
            <w:tcMar>
              <w:top w:w="0" w:type="dxa"/>
              <w:left w:w="45" w:type="dxa"/>
              <w:bottom w:w="0" w:type="dxa"/>
              <w:right w:w="45" w:type="dxa"/>
            </w:tcMar>
            <w:vAlign w:val="center"/>
            <w:hideMark/>
          </w:tcPr>
          <w:p w14:paraId="5B926E4C" w14:textId="77777777" w:rsidR="0060429F" w:rsidRPr="00C902C8" w:rsidRDefault="0060429F" w:rsidP="00152D76">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Goods sold under merchanting /receipt against export leg of merchanting trade</w:t>
            </w:r>
          </w:p>
        </w:tc>
      </w:tr>
      <w:tr w:rsidR="0060429F" w:rsidRPr="00C902C8" w14:paraId="0E2CCEA8" w14:textId="77777777" w:rsidTr="00152D76">
        <w:trPr>
          <w:jc w:val="center"/>
        </w:trPr>
        <w:tc>
          <w:tcPr>
            <w:tcW w:w="0" w:type="auto"/>
            <w:tcMar>
              <w:top w:w="0" w:type="dxa"/>
              <w:left w:w="45" w:type="dxa"/>
              <w:bottom w:w="0" w:type="dxa"/>
              <w:right w:w="45" w:type="dxa"/>
            </w:tcMar>
            <w:vAlign w:val="center"/>
            <w:hideMark/>
          </w:tcPr>
          <w:p w14:paraId="2289CD86" w14:textId="77777777" w:rsidR="0060429F" w:rsidRPr="00C902C8" w:rsidRDefault="0060429F" w:rsidP="00152D76">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lastRenderedPageBreak/>
              <w:t>Import</w:t>
            </w:r>
          </w:p>
        </w:tc>
        <w:tc>
          <w:tcPr>
            <w:tcW w:w="0" w:type="auto"/>
            <w:tcMar>
              <w:top w:w="0" w:type="dxa"/>
              <w:left w:w="45" w:type="dxa"/>
              <w:bottom w:w="0" w:type="dxa"/>
              <w:right w:w="45" w:type="dxa"/>
            </w:tcMar>
            <w:vAlign w:val="center"/>
            <w:hideMark/>
          </w:tcPr>
          <w:p w14:paraId="1B9E5A42" w14:textId="77777777" w:rsidR="0060429F" w:rsidRPr="00C902C8" w:rsidRDefault="0060429F" w:rsidP="00152D76">
            <w:pPr>
              <w:spacing w:after="0" w:line="240" w:lineRule="auto"/>
              <w:jc w:val="both"/>
              <w:rPr>
                <w:rFonts w:ascii="Times New Roman" w:eastAsia="Times New Roman" w:hAnsi="Times New Roman" w:cs="Times New Roman"/>
                <w:color w:val="000000"/>
                <w:sz w:val="24"/>
                <w:szCs w:val="24"/>
                <w:lang w:eastAsia="en-IN"/>
              </w:rPr>
            </w:pPr>
            <w:proofErr w:type="spellStart"/>
            <w:r w:rsidRPr="00C902C8">
              <w:rPr>
                <w:rFonts w:ascii="Times New Roman" w:eastAsia="Times New Roman" w:hAnsi="Times New Roman" w:cs="Times New Roman"/>
                <w:color w:val="000000"/>
                <w:sz w:val="24"/>
                <w:szCs w:val="24"/>
                <w:lang w:eastAsia="en-IN"/>
              </w:rPr>
              <w:t>S0108</w:t>
            </w:r>
            <w:proofErr w:type="spellEnd"/>
          </w:p>
        </w:tc>
        <w:tc>
          <w:tcPr>
            <w:tcW w:w="0" w:type="auto"/>
            <w:tcMar>
              <w:top w:w="0" w:type="dxa"/>
              <w:left w:w="45" w:type="dxa"/>
              <w:bottom w:w="0" w:type="dxa"/>
              <w:right w:w="45" w:type="dxa"/>
            </w:tcMar>
            <w:vAlign w:val="center"/>
            <w:hideMark/>
          </w:tcPr>
          <w:p w14:paraId="24F961E2" w14:textId="77777777" w:rsidR="0060429F" w:rsidRPr="00C902C8" w:rsidRDefault="0060429F" w:rsidP="00152D76">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Goods acquired under merchanting /payment against import leg of merchanting trade</w:t>
            </w:r>
          </w:p>
        </w:tc>
      </w:tr>
    </w:tbl>
    <w:p w14:paraId="6800B54E" w14:textId="77777777" w:rsidR="0060429F" w:rsidRPr="00C902C8" w:rsidRDefault="0060429F" w:rsidP="0060429F">
      <w:pPr>
        <w:spacing w:after="0" w:line="240" w:lineRule="auto"/>
        <w:jc w:val="both"/>
        <w:rPr>
          <w:rFonts w:ascii="Times New Roman" w:hAnsi="Times New Roman" w:cs="Times New Roman"/>
          <w:sz w:val="24"/>
          <w:szCs w:val="24"/>
        </w:rPr>
      </w:pPr>
    </w:p>
    <w:p w14:paraId="7E386CF7" w14:textId="77777777" w:rsidR="0060429F" w:rsidRPr="00C902C8" w:rsidRDefault="0060429F" w:rsidP="0060429F">
      <w:pPr>
        <w:spacing w:after="0" w:line="240" w:lineRule="auto"/>
        <w:jc w:val="both"/>
        <w:rPr>
          <w:rFonts w:ascii="Times New Roman" w:hAnsi="Times New Roman" w:cs="Times New Roman"/>
          <w:sz w:val="24"/>
          <w:szCs w:val="24"/>
        </w:rPr>
      </w:pPr>
    </w:p>
    <w:p w14:paraId="55B934B1"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9. AD banks shall bring the contents of this circular to the notice of their constituents concerned for strict compliance.</w:t>
      </w:r>
    </w:p>
    <w:p w14:paraId="3D2758F8" w14:textId="77777777" w:rsidR="0060429F" w:rsidRPr="00C902C8" w:rsidRDefault="0060429F" w:rsidP="0060429F">
      <w:pPr>
        <w:spacing w:after="0" w:line="240" w:lineRule="auto"/>
        <w:jc w:val="both"/>
        <w:rPr>
          <w:rFonts w:ascii="Times New Roman" w:hAnsi="Times New Roman" w:cs="Times New Roman"/>
          <w:sz w:val="24"/>
          <w:szCs w:val="24"/>
        </w:rPr>
      </w:pPr>
    </w:p>
    <w:p w14:paraId="298D06CD"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10. The directions contained in this circular have been issued under sections 10(4) and 11(1) of the Foreign Exchange Management Act (FEMA), 1999 (42 of 1999) and are without prejudice to permissions / approvals, if any, required under any other law.</w:t>
      </w:r>
    </w:p>
    <w:p w14:paraId="224A9EBF"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p w14:paraId="23B8C8AD" w14:textId="77777777" w:rsidR="0060429F" w:rsidRPr="00C902C8" w:rsidRDefault="0060429F" w:rsidP="0060429F">
      <w:pPr>
        <w:spacing w:after="0" w:line="240" w:lineRule="auto"/>
        <w:jc w:val="both"/>
        <w:rPr>
          <w:rFonts w:ascii="Times New Roman" w:hAnsi="Times New Roman" w:cs="Times New Roman"/>
          <w:sz w:val="24"/>
          <w:szCs w:val="24"/>
        </w:rPr>
      </w:pPr>
    </w:p>
    <w:p w14:paraId="5535BFFC" w14:textId="77777777" w:rsidR="0060429F" w:rsidRDefault="0060429F" w:rsidP="0060429F">
      <w:pPr>
        <w:spacing w:after="0" w:line="240" w:lineRule="auto"/>
        <w:jc w:val="both"/>
        <w:rPr>
          <w:rFonts w:ascii="Times New Roman" w:hAnsi="Times New Roman" w:cs="Times New Roman"/>
          <w:b/>
          <w:bCs/>
          <w:sz w:val="24"/>
          <w:szCs w:val="24"/>
        </w:rPr>
      </w:pPr>
    </w:p>
    <w:p w14:paraId="0A130329" w14:textId="77777777" w:rsidR="0060429F" w:rsidRPr="00C902C8"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Foreign Exchange Management (Manner of Receipt and Payment) (Second Amendment) Regulations, 2020</w:t>
      </w:r>
    </w:p>
    <w:p w14:paraId="166D02DB" w14:textId="77777777" w:rsidR="0060429F" w:rsidRPr="00C902C8" w:rsidRDefault="0060429F" w:rsidP="0060429F">
      <w:pPr>
        <w:spacing w:after="0" w:line="240" w:lineRule="auto"/>
        <w:jc w:val="both"/>
        <w:rPr>
          <w:rFonts w:ascii="Times New Roman" w:hAnsi="Times New Roman" w:cs="Times New Roman"/>
          <w:sz w:val="24"/>
          <w:szCs w:val="24"/>
        </w:rPr>
      </w:pPr>
    </w:p>
    <w:p w14:paraId="6F133F8E"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Notification No. FEMA 14(R)/(2)/2020-RB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04, 2020</w:t>
      </w:r>
    </w:p>
    <w:p w14:paraId="507A2D09" w14:textId="77777777" w:rsidR="0060429F" w:rsidRPr="00C902C8" w:rsidRDefault="0060429F" w:rsidP="0060429F">
      <w:pPr>
        <w:spacing w:after="0" w:line="240" w:lineRule="auto"/>
        <w:jc w:val="both"/>
        <w:rPr>
          <w:rFonts w:ascii="Times New Roman" w:hAnsi="Times New Roman" w:cs="Times New Roman"/>
          <w:sz w:val="24"/>
          <w:szCs w:val="24"/>
        </w:rPr>
      </w:pPr>
    </w:p>
    <w:p w14:paraId="7A1E953F"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exercise of the powers conferred by Section 47 of the Foreign Exchange Management Act, 1999 (42 of 1999), the Reserve Bank of India makes the following amendments in the Foreign Exchange Management (Manner of Receipt and Payment) Regulations, 2016 [Notification No. FEMA 14(R)/2016- RB dated May 02, 2016] (hereinafter referred to as 'the Principal Regulations'), namely:</w:t>
      </w:r>
    </w:p>
    <w:p w14:paraId="02509012" w14:textId="77777777" w:rsidR="0060429F" w:rsidRPr="00C902C8" w:rsidRDefault="0060429F" w:rsidP="0060429F">
      <w:pPr>
        <w:spacing w:after="0" w:line="240" w:lineRule="auto"/>
        <w:jc w:val="both"/>
        <w:rPr>
          <w:rFonts w:ascii="Times New Roman" w:hAnsi="Times New Roman" w:cs="Times New Roman"/>
          <w:sz w:val="24"/>
          <w:szCs w:val="24"/>
        </w:rPr>
      </w:pPr>
    </w:p>
    <w:p w14:paraId="67B3B18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 Short title and commencement: -</w:t>
      </w:r>
    </w:p>
    <w:p w14:paraId="73AE10E2" w14:textId="77777777" w:rsidR="0060429F" w:rsidRPr="00C902C8" w:rsidRDefault="0060429F" w:rsidP="0060429F">
      <w:pPr>
        <w:spacing w:after="0" w:line="240" w:lineRule="auto"/>
        <w:jc w:val="both"/>
        <w:rPr>
          <w:rFonts w:ascii="Times New Roman" w:hAnsi="Times New Roman" w:cs="Times New Roman"/>
          <w:sz w:val="24"/>
          <w:szCs w:val="24"/>
        </w:rPr>
      </w:pPr>
    </w:p>
    <w:p w14:paraId="77CAAF93" w14:textId="77777777" w:rsidR="0060429F" w:rsidRPr="00C902C8" w:rsidRDefault="0060429F" w:rsidP="0060429F">
      <w:pPr>
        <w:pStyle w:val="ListParagraph"/>
        <w:numPr>
          <w:ilvl w:val="0"/>
          <w:numId w:val="3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These Regulations may be called the Foreign Exchange Management (Manner of Receipt and Payment) (Second Amendment) Regulations, 2020.</w:t>
      </w:r>
    </w:p>
    <w:p w14:paraId="35BE95CF" w14:textId="77777777" w:rsidR="0060429F" w:rsidRPr="00C902C8" w:rsidRDefault="0060429F" w:rsidP="0060429F">
      <w:pPr>
        <w:pStyle w:val="ListParagraph"/>
        <w:numPr>
          <w:ilvl w:val="0"/>
          <w:numId w:val="3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They shall come into force from the date of their publication in the official Gazette.</w:t>
      </w:r>
    </w:p>
    <w:p w14:paraId="6B860654" w14:textId="77777777" w:rsidR="0060429F" w:rsidRPr="00C902C8" w:rsidRDefault="0060429F" w:rsidP="0060429F">
      <w:pPr>
        <w:spacing w:after="0" w:line="240" w:lineRule="auto"/>
        <w:jc w:val="both"/>
        <w:rPr>
          <w:rFonts w:ascii="Times New Roman" w:hAnsi="Times New Roman" w:cs="Times New Roman"/>
          <w:sz w:val="24"/>
          <w:szCs w:val="24"/>
        </w:rPr>
      </w:pPr>
    </w:p>
    <w:p w14:paraId="0FADC67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the Principal Regulations,</w:t>
      </w:r>
    </w:p>
    <w:p w14:paraId="18A2B5B2" w14:textId="77777777" w:rsidR="0060429F" w:rsidRPr="00C902C8" w:rsidRDefault="0060429F" w:rsidP="0060429F">
      <w:pPr>
        <w:spacing w:after="0" w:line="240" w:lineRule="auto"/>
        <w:jc w:val="both"/>
        <w:rPr>
          <w:rFonts w:ascii="Times New Roman" w:hAnsi="Times New Roman" w:cs="Times New Roman"/>
          <w:sz w:val="24"/>
          <w:szCs w:val="24"/>
        </w:rPr>
      </w:pPr>
    </w:p>
    <w:p w14:paraId="35211C9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in sub-Regulation 1 (A) of Regulation 3, the following shall be substituted, namely:</w:t>
      </w:r>
    </w:p>
    <w:p w14:paraId="5251DBA3" w14:textId="77777777" w:rsidR="0060429F" w:rsidRPr="00C902C8" w:rsidRDefault="0060429F" w:rsidP="0060429F">
      <w:pPr>
        <w:spacing w:after="0" w:line="240" w:lineRule="auto"/>
        <w:jc w:val="both"/>
        <w:rPr>
          <w:rFonts w:ascii="Times New Roman" w:hAnsi="Times New Roman" w:cs="Times New Roman"/>
          <w:sz w:val="24"/>
          <w:szCs w:val="24"/>
        </w:rPr>
      </w:pPr>
    </w:p>
    <w:p w14:paraId="2963EAD0"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“Members of Asian Clearing Union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w:t>
      </w:r>
    </w:p>
    <w:p w14:paraId="7933E4EE" w14:textId="77777777" w:rsidR="0060429F" w:rsidRPr="00C902C8" w:rsidRDefault="0060429F" w:rsidP="0060429F">
      <w:pPr>
        <w:spacing w:after="0" w:line="240" w:lineRule="auto"/>
        <w:jc w:val="both"/>
        <w:rPr>
          <w:rFonts w:ascii="Times New Roman" w:hAnsi="Times New Roman" w:cs="Times New Roman"/>
          <w:sz w:val="24"/>
          <w:szCs w:val="24"/>
        </w:rPr>
      </w:pPr>
    </w:p>
    <w:p w14:paraId="56E2879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in sub-Clause (a) of Clause (</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of sub-Regulation (1)(A) of Regulation 3, the following shall be substituted, namely:</w:t>
      </w:r>
    </w:p>
    <w:p w14:paraId="4B782230" w14:textId="77777777" w:rsidR="0060429F" w:rsidRPr="00C902C8" w:rsidRDefault="0060429F" w:rsidP="0060429F">
      <w:pPr>
        <w:spacing w:after="0" w:line="240" w:lineRule="auto"/>
        <w:jc w:val="both"/>
        <w:rPr>
          <w:rFonts w:ascii="Times New Roman" w:hAnsi="Times New Roman" w:cs="Times New Roman"/>
          <w:sz w:val="24"/>
          <w:szCs w:val="24"/>
        </w:rPr>
      </w:pPr>
    </w:p>
    <w:p w14:paraId="5AC47B1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“Receipt for export of eligible goods and services by debit to the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Dollar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Japnese</w:t>
      </w:r>
      <w:proofErr w:type="spellEnd"/>
      <w:r w:rsidRPr="00C902C8">
        <w:rPr>
          <w:rFonts w:ascii="Times New Roman" w:hAnsi="Times New Roman" w:cs="Times New Roman"/>
          <w:sz w:val="24"/>
          <w:szCs w:val="24"/>
        </w:rPr>
        <w:t xml:space="preserve"> Yen account in India of a bank of the member country in which the other party to the transaction is resident or by credit to the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Dollar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Japnese</w:t>
      </w:r>
      <w:proofErr w:type="spellEnd"/>
      <w:r w:rsidRPr="00C902C8">
        <w:rPr>
          <w:rFonts w:ascii="Times New Roman" w:hAnsi="Times New Roman" w:cs="Times New Roman"/>
          <w:sz w:val="24"/>
          <w:szCs w:val="24"/>
        </w:rPr>
        <w:t xml:space="preserve"> Yen account of the authorized dealer maintained with the correspondent bank in that member country;”</w:t>
      </w:r>
    </w:p>
    <w:p w14:paraId="3EB2A0D5" w14:textId="77777777" w:rsidR="0060429F" w:rsidRPr="00C902C8" w:rsidRDefault="0060429F" w:rsidP="0060429F">
      <w:pPr>
        <w:spacing w:after="0" w:line="240" w:lineRule="auto"/>
        <w:jc w:val="both"/>
        <w:rPr>
          <w:rFonts w:ascii="Times New Roman" w:hAnsi="Times New Roman" w:cs="Times New Roman"/>
          <w:sz w:val="24"/>
          <w:szCs w:val="24"/>
        </w:rPr>
      </w:pPr>
    </w:p>
    <w:p w14:paraId="65D0DACD"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in sub-regulation 1(A) of Regulation 5, the following shall be substituted, namely:</w:t>
      </w:r>
    </w:p>
    <w:p w14:paraId="1866D8FF" w14:textId="77777777" w:rsidR="0060429F" w:rsidRPr="00C902C8" w:rsidRDefault="0060429F" w:rsidP="0060429F">
      <w:pPr>
        <w:spacing w:after="0" w:line="240" w:lineRule="auto"/>
        <w:jc w:val="both"/>
        <w:rPr>
          <w:rFonts w:ascii="Times New Roman" w:hAnsi="Times New Roman" w:cs="Times New Roman"/>
          <w:sz w:val="24"/>
          <w:szCs w:val="24"/>
        </w:rPr>
      </w:pPr>
    </w:p>
    <w:p w14:paraId="3C9F5F0A"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“Members of Asian Clearing Union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w:t>
      </w:r>
    </w:p>
    <w:p w14:paraId="490DE982" w14:textId="77777777" w:rsidR="0060429F" w:rsidRPr="00C902C8" w:rsidRDefault="0060429F" w:rsidP="0060429F">
      <w:pPr>
        <w:spacing w:after="0" w:line="240" w:lineRule="auto"/>
        <w:jc w:val="both"/>
        <w:rPr>
          <w:rFonts w:ascii="Times New Roman" w:hAnsi="Times New Roman" w:cs="Times New Roman"/>
          <w:sz w:val="24"/>
          <w:szCs w:val="24"/>
        </w:rPr>
      </w:pPr>
    </w:p>
    <w:p w14:paraId="35C40921"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(iv) in sub-Clause (a) of Clause (</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of sub-Regulation (1)(A) of Regulation 5, the following shall be substituted, namely:</w:t>
      </w:r>
    </w:p>
    <w:p w14:paraId="3C9EF5DB" w14:textId="77777777" w:rsidR="0060429F" w:rsidRPr="00C902C8" w:rsidRDefault="0060429F" w:rsidP="0060429F">
      <w:pPr>
        <w:spacing w:after="0" w:line="240" w:lineRule="auto"/>
        <w:jc w:val="both"/>
        <w:rPr>
          <w:rFonts w:ascii="Times New Roman" w:hAnsi="Times New Roman" w:cs="Times New Roman"/>
          <w:sz w:val="24"/>
          <w:szCs w:val="24"/>
        </w:rPr>
      </w:pPr>
    </w:p>
    <w:p w14:paraId="394A953F"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“Payment for import of eligible goods and services by credit to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Dollar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Japnese</w:t>
      </w:r>
      <w:proofErr w:type="spellEnd"/>
      <w:r w:rsidRPr="00C902C8">
        <w:rPr>
          <w:rFonts w:ascii="Times New Roman" w:hAnsi="Times New Roman" w:cs="Times New Roman"/>
          <w:sz w:val="24"/>
          <w:szCs w:val="24"/>
        </w:rPr>
        <w:t xml:space="preserve"> Yen account in India of a bank of the member country in which the other party to the transaction is resident or by debit to the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Dollar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Japnese</w:t>
      </w:r>
      <w:proofErr w:type="spellEnd"/>
      <w:r w:rsidRPr="00C902C8">
        <w:rPr>
          <w:rFonts w:ascii="Times New Roman" w:hAnsi="Times New Roman" w:cs="Times New Roman"/>
          <w:sz w:val="24"/>
          <w:szCs w:val="24"/>
        </w:rPr>
        <w:t xml:space="preserve"> Yen account of the authorized dealer maintained with the correspondent bank in that member country:”</w:t>
      </w:r>
    </w:p>
    <w:p w14:paraId="7D4C5EAF"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p w14:paraId="6E009536" w14:textId="77777777" w:rsidR="0060429F" w:rsidRPr="00C902C8" w:rsidRDefault="0060429F" w:rsidP="0060429F">
      <w:pPr>
        <w:spacing w:after="0" w:line="240" w:lineRule="auto"/>
        <w:jc w:val="both"/>
        <w:rPr>
          <w:rFonts w:ascii="Times New Roman" w:hAnsi="Times New Roman" w:cs="Times New Roman"/>
          <w:sz w:val="24"/>
          <w:szCs w:val="24"/>
        </w:rPr>
      </w:pPr>
    </w:p>
    <w:p w14:paraId="2769385F" w14:textId="77777777" w:rsidR="0060429F"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Settlement system under Asian Clearing Union (</w:t>
      </w:r>
      <w:proofErr w:type="spellStart"/>
      <w:r w:rsidRPr="00C902C8">
        <w:rPr>
          <w:rFonts w:ascii="Times New Roman" w:hAnsi="Times New Roman" w:cs="Times New Roman"/>
          <w:b/>
          <w:bCs/>
          <w:sz w:val="24"/>
          <w:szCs w:val="24"/>
        </w:rPr>
        <w:t>ACU</w:t>
      </w:r>
      <w:proofErr w:type="spellEnd"/>
      <w:r w:rsidRPr="00C902C8">
        <w:rPr>
          <w:rFonts w:ascii="Times New Roman" w:hAnsi="Times New Roman" w:cs="Times New Roman"/>
          <w:b/>
          <w:bCs/>
          <w:sz w:val="24"/>
          <w:szCs w:val="24"/>
        </w:rPr>
        <w:t>) Mechanism</w:t>
      </w:r>
    </w:p>
    <w:p w14:paraId="0AA462D1" w14:textId="77777777" w:rsidR="0060429F" w:rsidRPr="00C902C8" w:rsidRDefault="0060429F" w:rsidP="0060429F">
      <w:pPr>
        <w:spacing w:after="0" w:line="240" w:lineRule="auto"/>
        <w:jc w:val="both"/>
        <w:rPr>
          <w:rFonts w:ascii="Times New Roman" w:hAnsi="Times New Roman" w:cs="Times New Roman"/>
          <w:b/>
          <w:bCs/>
          <w:sz w:val="24"/>
          <w:szCs w:val="24"/>
        </w:rPr>
      </w:pPr>
    </w:p>
    <w:p w14:paraId="5F6F9848"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RBI/2019-20/177 A. P. (DIR Series) Circular No. 22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17, 2020</w:t>
      </w:r>
    </w:p>
    <w:p w14:paraId="5731F060" w14:textId="77777777" w:rsidR="0060429F" w:rsidRPr="00C902C8" w:rsidRDefault="0060429F" w:rsidP="0060429F">
      <w:pPr>
        <w:spacing w:after="0" w:line="240" w:lineRule="auto"/>
        <w:jc w:val="both"/>
        <w:rPr>
          <w:rFonts w:ascii="Times New Roman" w:hAnsi="Times New Roman" w:cs="Times New Roman"/>
          <w:sz w:val="24"/>
          <w:szCs w:val="24"/>
        </w:rPr>
      </w:pPr>
    </w:p>
    <w:p w14:paraId="31DF742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64770D59"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 Category - I Banks</w:t>
      </w:r>
    </w:p>
    <w:p w14:paraId="4647F6BC" w14:textId="77777777" w:rsidR="0060429F" w:rsidRPr="00C902C8" w:rsidRDefault="0060429F" w:rsidP="0060429F">
      <w:pPr>
        <w:spacing w:after="0" w:line="240" w:lineRule="auto"/>
        <w:jc w:val="both"/>
        <w:rPr>
          <w:rFonts w:ascii="Times New Roman" w:hAnsi="Times New Roman" w:cs="Times New Roman"/>
          <w:sz w:val="24"/>
          <w:szCs w:val="24"/>
        </w:rPr>
      </w:pPr>
    </w:p>
    <w:p w14:paraId="51D1573F"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Board of Directors of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have decided to permit Japanese Yen for settling payments among the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member countries. Accordingly, clause (a) and (b) of Article IV of the General Provisions of Agreement establishing the Asian Clearing Union have been revised and the Asian Monetary Unit is now denominated as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Dollar",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and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Yen” which shall be equivalent in value to one US Dollar, one Euro and one Japanese Yen respectively.</w:t>
      </w:r>
    </w:p>
    <w:p w14:paraId="670CFAA1" w14:textId="77777777" w:rsidR="0060429F" w:rsidRPr="00C902C8" w:rsidRDefault="0060429F" w:rsidP="0060429F">
      <w:pPr>
        <w:spacing w:after="0" w:line="240" w:lineRule="auto"/>
        <w:jc w:val="both"/>
        <w:rPr>
          <w:rFonts w:ascii="Times New Roman" w:hAnsi="Times New Roman" w:cs="Times New Roman"/>
          <w:sz w:val="24"/>
          <w:szCs w:val="24"/>
        </w:rPr>
      </w:pPr>
    </w:p>
    <w:p w14:paraId="77F7DE28"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Attention of Authorised Dealer Category - I banks (AD banks) is invited to Regulations 3 and 5 of Notification No. FEMA 14(R)/2016-RB [Foreign Exchange Management (Manner of Receipt and Payment) Regulations, 2016] dated May 02, 2016 and the necessary amendments reflecting the above, which have been notified in the Gazette of India on March 06, 2020.</w:t>
      </w:r>
    </w:p>
    <w:p w14:paraId="7B12A568" w14:textId="77777777" w:rsidR="0060429F" w:rsidRPr="00C902C8" w:rsidRDefault="0060429F" w:rsidP="0060429F">
      <w:pPr>
        <w:spacing w:after="0" w:line="240" w:lineRule="auto"/>
        <w:jc w:val="both"/>
        <w:rPr>
          <w:rFonts w:ascii="Times New Roman" w:hAnsi="Times New Roman" w:cs="Times New Roman"/>
          <w:sz w:val="24"/>
          <w:szCs w:val="24"/>
        </w:rPr>
      </w:pPr>
    </w:p>
    <w:p w14:paraId="156070CF"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In order to facilitate transactions / settlements, effective March 06, 2020, participants in the Asian Clearing Union will have the option to settle their transactions either in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Dollar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or in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Japanese Yen.</w:t>
      </w:r>
    </w:p>
    <w:p w14:paraId="2FD46993" w14:textId="77777777" w:rsidR="0060429F" w:rsidRPr="00C902C8" w:rsidRDefault="0060429F" w:rsidP="0060429F">
      <w:pPr>
        <w:spacing w:after="0" w:line="240" w:lineRule="auto"/>
        <w:jc w:val="both"/>
        <w:rPr>
          <w:rFonts w:ascii="Times New Roman" w:hAnsi="Times New Roman" w:cs="Times New Roman"/>
          <w:sz w:val="24"/>
          <w:szCs w:val="24"/>
        </w:rPr>
      </w:pPr>
    </w:p>
    <w:p w14:paraId="02E304F9"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4. Further, AD banks are allowed to open and maintain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Dollar,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and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Japanese Yen accounts with their correspondent banks in other participating countries. All eligible payments are required to be settled by the concerned banks through these accounts.</w:t>
      </w:r>
    </w:p>
    <w:p w14:paraId="5A426C64" w14:textId="77777777" w:rsidR="0060429F" w:rsidRPr="00C902C8" w:rsidRDefault="0060429F" w:rsidP="0060429F">
      <w:pPr>
        <w:spacing w:after="0" w:line="240" w:lineRule="auto"/>
        <w:jc w:val="both"/>
        <w:rPr>
          <w:rFonts w:ascii="Times New Roman" w:hAnsi="Times New Roman" w:cs="Times New Roman"/>
          <w:sz w:val="24"/>
          <w:szCs w:val="24"/>
        </w:rPr>
      </w:pPr>
    </w:p>
    <w:p w14:paraId="4145316A"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amended Memorandum of Procedure for Channelling Transactions through Asian Clearing Union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[Memorandum ACM] is enclosed.</w:t>
      </w:r>
    </w:p>
    <w:p w14:paraId="16858E5F" w14:textId="77777777" w:rsidR="0060429F" w:rsidRPr="00C902C8" w:rsidRDefault="0060429F" w:rsidP="0060429F">
      <w:pPr>
        <w:spacing w:after="0" w:line="240" w:lineRule="auto"/>
        <w:jc w:val="both"/>
        <w:rPr>
          <w:rFonts w:ascii="Times New Roman" w:hAnsi="Times New Roman" w:cs="Times New Roman"/>
          <w:sz w:val="24"/>
          <w:szCs w:val="24"/>
        </w:rPr>
      </w:pPr>
    </w:p>
    <w:p w14:paraId="1CB38457"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Notwithstanding the above, it may be noted that as per circular RBI/2015-16/441 A.P. (DIR Series) Circular No. 81 dated June 30, 2016, operations in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has been temporarily suspended with effect from July 01, 2016.</w:t>
      </w:r>
    </w:p>
    <w:p w14:paraId="2DE8CF6E" w14:textId="77777777" w:rsidR="0060429F" w:rsidRPr="00C902C8" w:rsidRDefault="0060429F" w:rsidP="0060429F">
      <w:pPr>
        <w:spacing w:after="0" w:line="240" w:lineRule="auto"/>
        <w:jc w:val="both"/>
        <w:rPr>
          <w:rFonts w:ascii="Times New Roman" w:hAnsi="Times New Roman" w:cs="Times New Roman"/>
          <w:sz w:val="24"/>
          <w:szCs w:val="24"/>
        </w:rPr>
      </w:pPr>
    </w:p>
    <w:p w14:paraId="576A6FE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7. AD banks may bring the contents of this circular to the notice of their constituents concerned.</w:t>
      </w:r>
    </w:p>
    <w:p w14:paraId="29549D15" w14:textId="77777777" w:rsidR="0060429F" w:rsidRPr="00C902C8" w:rsidRDefault="0060429F" w:rsidP="0060429F">
      <w:pPr>
        <w:spacing w:after="0" w:line="240" w:lineRule="auto"/>
        <w:jc w:val="both"/>
        <w:rPr>
          <w:rFonts w:ascii="Times New Roman" w:hAnsi="Times New Roman" w:cs="Times New Roman"/>
          <w:sz w:val="24"/>
          <w:szCs w:val="24"/>
        </w:rPr>
      </w:pPr>
    </w:p>
    <w:p w14:paraId="2E1AFB2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8. The directions contained in this circular has been issued under sections 10(4) and 11(1) of the Foreign Exchange Management Act (FEMA), 1999 (42 of 1999) and is without prejudice to permissions / approvals, if any, required under any other law.</w:t>
      </w:r>
    </w:p>
    <w:p w14:paraId="5C210C49"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p w14:paraId="7AE12A8D" w14:textId="77777777" w:rsidR="0060429F" w:rsidRDefault="0060429F" w:rsidP="0060429F">
      <w:pPr>
        <w:spacing w:after="0" w:line="240" w:lineRule="auto"/>
        <w:jc w:val="both"/>
        <w:rPr>
          <w:rFonts w:ascii="Times New Roman" w:hAnsi="Times New Roman" w:cs="Times New Roman"/>
          <w:sz w:val="24"/>
          <w:szCs w:val="24"/>
        </w:rPr>
      </w:pPr>
    </w:p>
    <w:p w14:paraId="71CF9440" w14:textId="77777777" w:rsidR="0060429F" w:rsidRPr="00C902C8" w:rsidRDefault="0060429F" w:rsidP="0060429F">
      <w:pPr>
        <w:spacing w:after="0" w:line="240" w:lineRule="auto"/>
        <w:jc w:val="both"/>
        <w:rPr>
          <w:rFonts w:ascii="Times New Roman" w:hAnsi="Times New Roman" w:cs="Times New Roman"/>
          <w:sz w:val="24"/>
          <w:szCs w:val="24"/>
        </w:rPr>
      </w:pPr>
    </w:p>
    <w:p w14:paraId="43774B58" w14:textId="77777777" w:rsidR="0060429F"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Foreign Exchange Management (Export of Goods and Services) (Amendment) Regulations, 2020</w:t>
      </w:r>
    </w:p>
    <w:p w14:paraId="52923E9E" w14:textId="77777777" w:rsidR="0060429F" w:rsidRPr="00C902C8" w:rsidRDefault="0060429F" w:rsidP="0060429F">
      <w:pPr>
        <w:spacing w:after="0" w:line="240" w:lineRule="auto"/>
        <w:jc w:val="both"/>
        <w:rPr>
          <w:rFonts w:ascii="Times New Roman" w:hAnsi="Times New Roman" w:cs="Times New Roman"/>
          <w:b/>
          <w:bCs/>
          <w:sz w:val="24"/>
          <w:szCs w:val="24"/>
        </w:rPr>
      </w:pPr>
    </w:p>
    <w:p w14:paraId="4F791075"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Notification No. FEMA 23(R)/(3)/2020-RB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31, 2020</w:t>
      </w:r>
    </w:p>
    <w:p w14:paraId="72794945" w14:textId="77777777" w:rsidR="0060429F" w:rsidRPr="00C902C8" w:rsidRDefault="0060429F" w:rsidP="0060429F">
      <w:pPr>
        <w:spacing w:after="0" w:line="240" w:lineRule="auto"/>
        <w:jc w:val="both"/>
        <w:rPr>
          <w:rFonts w:ascii="Times New Roman" w:hAnsi="Times New Roman" w:cs="Times New Roman"/>
          <w:sz w:val="24"/>
          <w:szCs w:val="24"/>
        </w:rPr>
      </w:pPr>
    </w:p>
    <w:p w14:paraId="31FCC411"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exercise of the powers conferred by clause (a) of sub-section (1), sub-section (3) of section 7 and clause (b) of sub-section (2) of section 47 of the Foreign Exchange Management Act, 1999 (42 of 1999), the Reserve Bank of India makes the following amendments in the Foreign Exchange Management (Export of Goods &amp; Services) Regulations, 2015 [Notification No. FEMA 23(R)/2015-RB dated January 12, 2016] (hereinafter referred to as 'the Principal Regulations'), namely:</w:t>
      </w:r>
    </w:p>
    <w:p w14:paraId="48FA9E83" w14:textId="77777777" w:rsidR="0060429F" w:rsidRPr="00C902C8" w:rsidRDefault="0060429F" w:rsidP="0060429F">
      <w:pPr>
        <w:spacing w:after="0" w:line="240" w:lineRule="auto"/>
        <w:jc w:val="both"/>
        <w:rPr>
          <w:rFonts w:ascii="Times New Roman" w:hAnsi="Times New Roman" w:cs="Times New Roman"/>
          <w:sz w:val="24"/>
          <w:szCs w:val="24"/>
        </w:rPr>
      </w:pPr>
    </w:p>
    <w:p w14:paraId="519FD55D"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 Short title and commencement: -</w:t>
      </w:r>
    </w:p>
    <w:p w14:paraId="7BC93F73" w14:textId="77777777" w:rsidR="0060429F" w:rsidRPr="00C902C8" w:rsidRDefault="0060429F" w:rsidP="0060429F">
      <w:pPr>
        <w:spacing w:after="0" w:line="240" w:lineRule="auto"/>
        <w:jc w:val="both"/>
        <w:rPr>
          <w:rFonts w:ascii="Times New Roman" w:hAnsi="Times New Roman" w:cs="Times New Roman"/>
          <w:sz w:val="24"/>
          <w:szCs w:val="24"/>
        </w:rPr>
      </w:pPr>
    </w:p>
    <w:p w14:paraId="729429D7"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These Regulations may be called the Foreign Exchange Management (Export of Goods and Services) (Amendment) Regulations, 2020.</w:t>
      </w:r>
    </w:p>
    <w:p w14:paraId="3916221B" w14:textId="77777777" w:rsidR="0060429F" w:rsidRPr="00C902C8" w:rsidRDefault="0060429F" w:rsidP="0060429F">
      <w:pPr>
        <w:spacing w:after="0" w:line="240" w:lineRule="auto"/>
        <w:jc w:val="both"/>
        <w:rPr>
          <w:rFonts w:ascii="Times New Roman" w:hAnsi="Times New Roman" w:cs="Times New Roman"/>
          <w:sz w:val="24"/>
          <w:szCs w:val="24"/>
        </w:rPr>
      </w:pPr>
    </w:p>
    <w:p w14:paraId="2127292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the Principal Regulations, in regulation 9, in sub-regulation (1) and sub-regulation (2)(a), for the words “nine months”, the words “nine months or within such period as may be specified by the Reserve Bank, in consultation with the Government, from time to time” shall be substituted. Similarly, in sub-regulation (1) (a), for the words “fifteen months”, the words “fifteen months or within such period as may be specified by the Reserve Bank, in consultation with the Government, from time to time “shall be substituted.</w:t>
      </w:r>
    </w:p>
    <w:p w14:paraId="76633BC5" w14:textId="77777777" w:rsidR="0060429F" w:rsidRPr="00C902C8" w:rsidRDefault="0060429F" w:rsidP="0060429F">
      <w:pPr>
        <w:spacing w:after="0" w:line="240" w:lineRule="auto"/>
        <w:jc w:val="both"/>
        <w:rPr>
          <w:rFonts w:ascii="Times New Roman" w:hAnsi="Times New Roman" w:cs="Times New Roman"/>
          <w:sz w:val="24"/>
          <w:szCs w:val="24"/>
        </w:rPr>
      </w:pPr>
    </w:p>
    <w:p w14:paraId="57F8FD0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Regulation 9 (1)(b), for the words “period of nine months or fifteen months, as the case may be”, the words “said period” shall be substituted.</w:t>
      </w:r>
    </w:p>
    <w:p w14:paraId="060F2D17" w14:textId="77777777" w:rsidR="0060429F" w:rsidRPr="00C902C8" w:rsidRDefault="0060429F" w:rsidP="0060429F">
      <w:pPr>
        <w:spacing w:after="0" w:line="240" w:lineRule="auto"/>
        <w:jc w:val="both"/>
        <w:rPr>
          <w:rFonts w:ascii="Times New Roman" w:hAnsi="Times New Roman" w:cs="Times New Roman"/>
          <w:sz w:val="24"/>
          <w:szCs w:val="24"/>
        </w:rPr>
      </w:pPr>
    </w:p>
    <w:p w14:paraId="0F418C66"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In proviso to Regulation 9 (2)(a), for the words “period of nine months”, the words “said period” shall be substituted.</w:t>
      </w:r>
    </w:p>
    <w:p w14:paraId="60B3CBA4"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p w14:paraId="6C984152" w14:textId="77777777" w:rsidR="0060429F" w:rsidRPr="00C902C8" w:rsidRDefault="0060429F" w:rsidP="0060429F">
      <w:pPr>
        <w:spacing w:after="0" w:line="240" w:lineRule="auto"/>
        <w:jc w:val="both"/>
        <w:rPr>
          <w:rFonts w:ascii="Times New Roman" w:hAnsi="Times New Roman" w:cs="Times New Roman"/>
          <w:sz w:val="24"/>
          <w:szCs w:val="24"/>
        </w:rPr>
      </w:pPr>
    </w:p>
    <w:p w14:paraId="74E0C0E4" w14:textId="77777777" w:rsidR="0060429F" w:rsidRPr="00C902C8" w:rsidRDefault="0060429F" w:rsidP="0060429F">
      <w:pPr>
        <w:spacing w:after="0" w:line="240" w:lineRule="auto"/>
        <w:jc w:val="both"/>
        <w:rPr>
          <w:rFonts w:ascii="Times New Roman" w:hAnsi="Times New Roman" w:cs="Times New Roman"/>
          <w:sz w:val="24"/>
          <w:szCs w:val="24"/>
        </w:rPr>
      </w:pPr>
    </w:p>
    <w:p w14:paraId="6D54E329" w14:textId="77777777" w:rsidR="0060429F" w:rsidRDefault="0060429F" w:rsidP="0060429F">
      <w:pPr>
        <w:spacing w:after="0" w:line="240" w:lineRule="auto"/>
        <w:jc w:val="both"/>
        <w:rPr>
          <w:rFonts w:ascii="Times New Roman" w:hAnsi="Times New Roman" w:cs="Times New Roman"/>
          <w:b/>
          <w:bCs/>
          <w:sz w:val="24"/>
          <w:szCs w:val="24"/>
        </w:rPr>
      </w:pPr>
      <w:bookmarkStart w:id="2" w:name="_Hlk43632026"/>
      <w:r w:rsidRPr="00C902C8">
        <w:rPr>
          <w:rFonts w:ascii="Times New Roman" w:hAnsi="Times New Roman" w:cs="Times New Roman"/>
          <w:b/>
          <w:bCs/>
          <w:sz w:val="24"/>
          <w:szCs w:val="24"/>
        </w:rPr>
        <w:t>Export of Goods and Services- Realisation and Repatriation of Export Proceeds-Relaxation</w:t>
      </w:r>
    </w:p>
    <w:p w14:paraId="6C9B914E" w14:textId="77777777" w:rsidR="0060429F" w:rsidRPr="00C902C8" w:rsidRDefault="0060429F" w:rsidP="0060429F">
      <w:pPr>
        <w:spacing w:after="0" w:line="240" w:lineRule="auto"/>
        <w:jc w:val="both"/>
        <w:rPr>
          <w:rFonts w:ascii="Times New Roman" w:hAnsi="Times New Roman" w:cs="Times New Roman"/>
          <w:b/>
          <w:bCs/>
          <w:sz w:val="24"/>
          <w:szCs w:val="24"/>
        </w:rPr>
      </w:pPr>
    </w:p>
    <w:p w14:paraId="27224F7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RBI/2019-20/206 A. P. (DIR Series) Circular No. 27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01, 2020</w:t>
      </w:r>
    </w:p>
    <w:p w14:paraId="6A4EE131" w14:textId="77777777" w:rsidR="0060429F" w:rsidRPr="00C902C8" w:rsidRDefault="0060429F" w:rsidP="0060429F">
      <w:pPr>
        <w:spacing w:after="0" w:line="240" w:lineRule="auto"/>
        <w:jc w:val="both"/>
        <w:rPr>
          <w:rFonts w:ascii="Times New Roman" w:hAnsi="Times New Roman" w:cs="Times New Roman"/>
          <w:sz w:val="24"/>
          <w:szCs w:val="24"/>
        </w:rPr>
      </w:pPr>
    </w:p>
    <w:p w14:paraId="6F21FCA6"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05E6631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 Category – I Banks</w:t>
      </w:r>
    </w:p>
    <w:p w14:paraId="72735944" w14:textId="77777777" w:rsidR="0060429F" w:rsidRPr="00C902C8" w:rsidRDefault="0060429F" w:rsidP="0060429F">
      <w:pPr>
        <w:spacing w:after="0" w:line="240" w:lineRule="auto"/>
        <w:jc w:val="both"/>
        <w:rPr>
          <w:rFonts w:ascii="Times New Roman" w:hAnsi="Times New Roman" w:cs="Times New Roman"/>
          <w:sz w:val="24"/>
          <w:szCs w:val="24"/>
        </w:rPr>
      </w:pPr>
    </w:p>
    <w:p w14:paraId="4E347A97"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Government of India as well as the Reserve Bank has been receiving representations from Exporters Trade bodies to extend the period of realisation of export proceeds in view of the outbreak of pandemic COVID- 19. It has, therefore, been decided, in consultation with Government of India, to increase the present period of realization and repatriation to India of the amount representing the full export value of goods or software or services exported, from nine months to fifteen months from the date of export, for the exports made up to or on July 31, 2020.</w:t>
      </w:r>
    </w:p>
    <w:p w14:paraId="4E4FDA7B" w14:textId="77777777" w:rsidR="0060429F" w:rsidRPr="00C902C8" w:rsidRDefault="0060429F" w:rsidP="0060429F">
      <w:pPr>
        <w:spacing w:after="0" w:line="240" w:lineRule="auto"/>
        <w:jc w:val="both"/>
        <w:rPr>
          <w:rFonts w:ascii="Times New Roman" w:hAnsi="Times New Roman" w:cs="Times New Roman"/>
          <w:sz w:val="24"/>
          <w:szCs w:val="24"/>
        </w:rPr>
      </w:pPr>
    </w:p>
    <w:p w14:paraId="687D828A"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2. The provisions in regard to period of realization and repatriation to India of the full export value of goods exported to warehouses established outside India remain unchanged.</w:t>
      </w:r>
    </w:p>
    <w:p w14:paraId="3205CA84" w14:textId="77777777" w:rsidR="0060429F" w:rsidRPr="00C902C8" w:rsidRDefault="0060429F" w:rsidP="0060429F">
      <w:pPr>
        <w:spacing w:after="0" w:line="240" w:lineRule="auto"/>
        <w:jc w:val="both"/>
        <w:rPr>
          <w:rFonts w:ascii="Times New Roman" w:hAnsi="Times New Roman" w:cs="Times New Roman"/>
          <w:sz w:val="24"/>
          <w:szCs w:val="24"/>
        </w:rPr>
      </w:pPr>
    </w:p>
    <w:p w14:paraId="2336F063"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AD Category - I banks may please bring the contents of this Circular to the notice of their constituents concerned.</w:t>
      </w:r>
    </w:p>
    <w:p w14:paraId="0DB0D5EB" w14:textId="77777777" w:rsidR="0060429F" w:rsidRPr="00C902C8" w:rsidRDefault="0060429F" w:rsidP="0060429F">
      <w:pPr>
        <w:spacing w:after="0" w:line="240" w:lineRule="auto"/>
        <w:jc w:val="both"/>
        <w:rPr>
          <w:rFonts w:ascii="Times New Roman" w:hAnsi="Times New Roman" w:cs="Times New Roman"/>
          <w:sz w:val="24"/>
          <w:szCs w:val="24"/>
        </w:rPr>
      </w:pPr>
    </w:p>
    <w:p w14:paraId="540B449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circular have been issued under Section 10(4) and 11(1) of Foreign Exchange Management Act, 1999 (42 of 1999) and without prejudice to permissions / approvals, if any, required under any other law.</w:t>
      </w:r>
    </w:p>
    <w:p w14:paraId="4F52C20C"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bookmarkEnd w:id="2"/>
    <w:p w14:paraId="34EB2FDC" w14:textId="77777777" w:rsidR="0060429F" w:rsidRPr="00C902C8" w:rsidRDefault="0060429F" w:rsidP="0060429F">
      <w:pPr>
        <w:spacing w:after="0" w:line="240" w:lineRule="auto"/>
        <w:jc w:val="both"/>
        <w:rPr>
          <w:rFonts w:ascii="Times New Roman" w:hAnsi="Times New Roman" w:cs="Times New Roman"/>
          <w:sz w:val="24"/>
          <w:szCs w:val="24"/>
        </w:rPr>
      </w:pPr>
    </w:p>
    <w:p w14:paraId="3F6DF174" w14:textId="77777777" w:rsidR="0060429F" w:rsidRDefault="0060429F" w:rsidP="0060429F">
      <w:pPr>
        <w:spacing w:after="0" w:line="240" w:lineRule="auto"/>
        <w:jc w:val="both"/>
        <w:rPr>
          <w:rFonts w:ascii="Times New Roman" w:hAnsi="Times New Roman" w:cs="Times New Roman"/>
          <w:b/>
          <w:bCs/>
          <w:sz w:val="24"/>
          <w:szCs w:val="24"/>
        </w:rPr>
      </w:pPr>
    </w:p>
    <w:p w14:paraId="77D4D7AA" w14:textId="77777777" w:rsidR="0060429F"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Interest Equalisation Scheme on Pre and Post Shipment Rupee Export Credit- Extension</w:t>
      </w:r>
    </w:p>
    <w:p w14:paraId="3B627D82" w14:textId="77777777" w:rsidR="0060429F" w:rsidRPr="00C902C8" w:rsidRDefault="0060429F" w:rsidP="0060429F">
      <w:pPr>
        <w:spacing w:after="0" w:line="240" w:lineRule="auto"/>
        <w:jc w:val="both"/>
        <w:rPr>
          <w:rFonts w:ascii="Times New Roman" w:hAnsi="Times New Roman" w:cs="Times New Roman"/>
          <w:b/>
          <w:bCs/>
          <w:sz w:val="24"/>
          <w:szCs w:val="24"/>
        </w:rPr>
      </w:pPr>
    </w:p>
    <w:p w14:paraId="4C75BBAB"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RBI/2019-20/231 </w:t>
      </w:r>
      <w:proofErr w:type="spellStart"/>
      <w:r w:rsidRPr="00C902C8">
        <w:rPr>
          <w:rFonts w:ascii="Times New Roman" w:hAnsi="Times New Roman" w:cs="Times New Roman"/>
          <w:sz w:val="24"/>
          <w:szCs w:val="24"/>
        </w:rPr>
        <w:t>DOR.Dir.BC.No.69</w:t>
      </w:r>
      <w:proofErr w:type="spellEnd"/>
      <w:r w:rsidRPr="00C902C8">
        <w:rPr>
          <w:rFonts w:ascii="Times New Roman" w:hAnsi="Times New Roman" w:cs="Times New Roman"/>
          <w:sz w:val="24"/>
          <w:szCs w:val="24"/>
        </w:rPr>
        <w:t xml:space="preserve">/04.02.001/2019-20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13, 2020</w:t>
      </w:r>
    </w:p>
    <w:p w14:paraId="5BAD67FC" w14:textId="77777777" w:rsidR="0060429F" w:rsidRPr="00C902C8" w:rsidRDefault="0060429F" w:rsidP="0060429F">
      <w:pPr>
        <w:spacing w:after="0" w:line="240" w:lineRule="auto"/>
        <w:jc w:val="both"/>
        <w:rPr>
          <w:rFonts w:ascii="Times New Roman" w:hAnsi="Times New Roman" w:cs="Times New Roman"/>
          <w:sz w:val="24"/>
          <w:szCs w:val="24"/>
        </w:rPr>
      </w:pPr>
    </w:p>
    <w:p w14:paraId="267B18B9"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All Scheduled Commercial Banks (excluding </w:t>
      </w:r>
      <w:proofErr w:type="spellStart"/>
      <w:r w:rsidRPr="00C902C8">
        <w:rPr>
          <w:rFonts w:ascii="Times New Roman" w:hAnsi="Times New Roman" w:cs="Times New Roman"/>
          <w:sz w:val="24"/>
          <w:szCs w:val="24"/>
        </w:rPr>
        <w:t>RRBs</w:t>
      </w:r>
      <w:proofErr w:type="spellEnd"/>
      <w:r w:rsidRPr="00C902C8">
        <w:rPr>
          <w:rFonts w:ascii="Times New Roman" w:hAnsi="Times New Roman" w:cs="Times New Roman"/>
          <w:sz w:val="24"/>
          <w:szCs w:val="24"/>
        </w:rPr>
        <w:t>)/ Small Finance Banks, Primary (Urban) Cooperative Banks/ and EXIM Bank</w:t>
      </w:r>
    </w:p>
    <w:p w14:paraId="5B703371" w14:textId="77777777" w:rsidR="0060429F" w:rsidRPr="00C902C8" w:rsidRDefault="0060429F" w:rsidP="0060429F">
      <w:pPr>
        <w:spacing w:after="0" w:line="240" w:lineRule="auto"/>
        <w:jc w:val="both"/>
        <w:rPr>
          <w:rFonts w:ascii="Times New Roman" w:hAnsi="Times New Roman" w:cs="Times New Roman"/>
          <w:sz w:val="24"/>
          <w:szCs w:val="24"/>
        </w:rPr>
      </w:pPr>
    </w:p>
    <w:p w14:paraId="7A7265C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operational instructions for the captioned Scheme contained in RBI circular on Interest Equalisation Scheme on Pre and Post Shipment Rupee Export Credit issued vide </w:t>
      </w:r>
      <w:proofErr w:type="spellStart"/>
      <w:r w:rsidRPr="00C902C8">
        <w:rPr>
          <w:rFonts w:ascii="Times New Roman" w:hAnsi="Times New Roman" w:cs="Times New Roman"/>
          <w:sz w:val="24"/>
          <w:szCs w:val="24"/>
        </w:rPr>
        <w:t>DBR.Dir.BC.No.62</w:t>
      </w:r>
      <w:proofErr w:type="spellEnd"/>
      <w:r w:rsidRPr="00C902C8">
        <w:rPr>
          <w:rFonts w:ascii="Times New Roman" w:hAnsi="Times New Roman" w:cs="Times New Roman"/>
          <w:sz w:val="24"/>
          <w:szCs w:val="24"/>
        </w:rPr>
        <w:t xml:space="preserve">/04.02.001/2015-16 dated December 4, 2015; </w:t>
      </w:r>
      <w:proofErr w:type="spellStart"/>
      <w:r w:rsidRPr="00C902C8">
        <w:rPr>
          <w:rFonts w:ascii="Times New Roman" w:hAnsi="Times New Roman" w:cs="Times New Roman"/>
          <w:sz w:val="24"/>
          <w:szCs w:val="24"/>
        </w:rPr>
        <w:t>DCBR.CO.SCB.Cir.No.1</w:t>
      </w:r>
      <w:proofErr w:type="spellEnd"/>
      <w:r w:rsidRPr="00C902C8">
        <w:rPr>
          <w:rFonts w:ascii="Times New Roman" w:hAnsi="Times New Roman" w:cs="Times New Roman"/>
          <w:sz w:val="24"/>
          <w:szCs w:val="24"/>
        </w:rPr>
        <w:t xml:space="preserve">/13.05.000/2015-16 dated February 11, 2016, </w:t>
      </w:r>
      <w:proofErr w:type="spellStart"/>
      <w:r w:rsidRPr="00C902C8">
        <w:rPr>
          <w:rFonts w:ascii="Times New Roman" w:hAnsi="Times New Roman" w:cs="Times New Roman"/>
          <w:sz w:val="24"/>
          <w:szCs w:val="24"/>
        </w:rPr>
        <w:t>DBR.Dir.BC.No.09</w:t>
      </w:r>
      <w:proofErr w:type="spellEnd"/>
      <w:r w:rsidRPr="00C902C8">
        <w:rPr>
          <w:rFonts w:ascii="Times New Roman" w:hAnsi="Times New Roman" w:cs="Times New Roman"/>
          <w:sz w:val="24"/>
          <w:szCs w:val="24"/>
        </w:rPr>
        <w:t xml:space="preserve">/04.02.001/2018-19 dated November 29, 2018 and </w:t>
      </w:r>
      <w:proofErr w:type="spellStart"/>
      <w:r w:rsidRPr="00C902C8">
        <w:rPr>
          <w:rFonts w:ascii="Times New Roman" w:hAnsi="Times New Roman" w:cs="Times New Roman"/>
          <w:sz w:val="24"/>
          <w:szCs w:val="24"/>
        </w:rPr>
        <w:t>DBR.Dir.BC.No.22</w:t>
      </w:r>
      <w:proofErr w:type="spellEnd"/>
      <w:r w:rsidRPr="00C902C8">
        <w:rPr>
          <w:rFonts w:ascii="Times New Roman" w:hAnsi="Times New Roman" w:cs="Times New Roman"/>
          <w:sz w:val="24"/>
          <w:szCs w:val="24"/>
        </w:rPr>
        <w:t>/04.02.001/2018-19 dated January 11, 2019.</w:t>
      </w:r>
    </w:p>
    <w:p w14:paraId="11B709BD" w14:textId="77777777" w:rsidR="0060429F" w:rsidRPr="00C902C8" w:rsidRDefault="0060429F" w:rsidP="0060429F">
      <w:pPr>
        <w:spacing w:after="0" w:line="240" w:lineRule="auto"/>
        <w:jc w:val="both"/>
        <w:rPr>
          <w:rFonts w:ascii="Times New Roman" w:hAnsi="Times New Roman" w:cs="Times New Roman"/>
          <w:sz w:val="24"/>
          <w:szCs w:val="24"/>
        </w:rPr>
      </w:pPr>
    </w:p>
    <w:p w14:paraId="35FD631D"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In this connection, Government of India has approved the extension of Interest Equalization Scheme for pre and post shipment Rupee export credit, with same scope and coverage, for one more year i.e.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March 31, 2021. The extension shall take effect from April 01, 2020 and end on March 31, 2021 covering a period of one year.</w:t>
      </w:r>
    </w:p>
    <w:p w14:paraId="54D02600" w14:textId="77777777" w:rsidR="0060429F" w:rsidRPr="00C902C8" w:rsidRDefault="0060429F" w:rsidP="0060429F">
      <w:pPr>
        <w:spacing w:after="0" w:line="240" w:lineRule="auto"/>
        <w:jc w:val="both"/>
        <w:rPr>
          <w:rFonts w:ascii="Times New Roman" w:hAnsi="Times New Roman" w:cs="Times New Roman"/>
          <w:sz w:val="24"/>
          <w:szCs w:val="24"/>
        </w:rPr>
      </w:pPr>
    </w:p>
    <w:p w14:paraId="504EBF5E"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Consequently, the extant operational instructions issued by the RBI under the captioned Scheme shall continue to remain in force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March 31, 2021.</w:t>
      </w:r>
    </w:p>
    <w:p w14:paraId="78104C2A"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p w14:paraId="2446F15A" w14:textId="77777777" w:rsidR="0060429F" w:rsidRPr="00C902C8" w:rsidRDefault="0060429F" w:rsidP="0060429F">
      <w:pPr>
        <w:spacing w:after="0" w:line="240" w:lineRule="auto"/>
        <w:jc w:val="both"/>
        <w:rPr>
          <w:rFonts w:ascii="Times New Roman" w:hAnsi="Times New Roman" w:cs="Times New Roman"/>
          <w:sz w:val="24"/>
          <w:szCs w:val="24"/>
        </w:rPr>
      </w:pPr>
    </w:p>
    <w:p w14:paraId="6D531CF1" w14:textId="77777777" w:rsidR="0060429F" w:rsidRDefault="0060429F" w:rsidP="0060429F">
      <w:pPr>
        <w:spacing w:after="0" w:line="240" w:lineRule="auto"/>
        <w:jc w:val="both"/>
        <w:rPr>
          <w:rFonts w:ascii="Times New Roman" w:hAnsi="Times New Roman" w:cs="Times New Roman"/>
          <w:b/>
          <w:bCs/>
          <w:sz w:val="24"/>
          <w:szCs w:val="24"/>
        </w:rPr>
      </w:pPr>
      <w:bookmarkStart w:id="3" w:name="_Hlk43632073"/>
    </w:p>
    <w:p w14:paraId="288A3C45" w14:textId="77777777" w:rsidR="0060429F"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Risk Management and Inter-bank Dealings – Hedging of Foreign Exchange Risk-Date of Implementation</w:t>
      </w:r>
    </w:p>
    <w:p w14:paraId="5A36DA23" w14:textId="77777777" w:rsidR="0060429F" w:rsidRPr="00C902C8" w:rsidRDefault="0060429F" w:rsidP="0060429F">
      <w:pPr>
        <w:spacing w:after="0" w:line="240" w:lineRule="auto"/>
        <w:jc w:val="both"/>
        <w:rPr>
          <w:rFonts w:ascii="Times New Roman" w:hAnsi="Times New Roman" w:cs="Times New Roman"/>
          <w:b/>
          <w:bCs/>
          <w:sz w:val="24"/>
          <w:szCs w:val="24"/>
        </w:rPr>
      </w:pPr>
    </w:p>
    <w:p w14:paraId="055B5DF7"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RBI/2019-20/232 A.P.(DIR Series) Circular </w:t>
      </w:r>
      <w:proofErr w:type="spellStart"/>
      <w:r w:rsidRPr="00C902C8">
        <w:rPr>
          <w:rFonts w:ascii="Times New Roman" w:hAnsi="Times New Roman" w:cs="Times New Roman"/>
          <w:sz w:val="24"/>
          <w:szCs w:val="24"/>
        </w:rPr>
        <w:t>No.31</w:t>
      </w:r>
      <w:proofErr w:type="spellEnd"/>
      <w:r w:rsidRPr="00C902C8">
        <w:rPr>
          <w:rFonts w:ascii="Times New Roman" w:hAnsi="Times New Roman" w:cs="Times New Roman"/>
          <w:sz w:val="24"/>
          <w:szCs w:val="24"/>
        </w:rPr>
        <w:t xml:space="preserve">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18, 2020</w:t>
      </w:r>
    </w:p>
    <w:p w14:paraId="1D3079C4" w14:textId="77777777" w:rsidR="0060429F" w:rsidRPr="00C902C8" w:rsidRDefault="0060429F" w:rsidP="0060429F">
      <w:pPr>
        <w:spacing w:after="0" w:line="240" w:lineRule="auto"/>
        <w:jc w:val="both"/>
        <w:rPr>
          <w:rFonts w:ascii="Times New Roman" w:hAnsi="Times New Roman" w:cs="Times New Roman"/>
          <w:sz w:val="24"/>
          <w:szCs w:val="24"/>
        </w:rPr>
      </w:pPr>
    </w:p>
    <w:p w14:paraId="67BC0E0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3473C4E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Dealers Category – I</w:t>
      </w:r>
    </w:p>
    <w:p w14:paraId="58553332" w14:textId="77777777" w:rsidR="0060429F" w:rsidRPr="00C902C8" w:rsidRDefault="0060429F" w:rsidP="0060429F">
      <w:pPr>
        <w:spacing w:after="0" w:line="240" w:lineRule="auto"/>
        <w:jc w:val="both"/>
        <w:rPr>
          <w:rFonts w:ascii="Times New Roman" w:hAnsi="Times New Roman" w:cs="Times New Roman"/>
          <w:sz w:val="24"/>
          <w:szCs w:val="24"/>
        </w:rPr>
      </w:pPr>
    </w:p>
    <w:p w14:paraId="5799F33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reference is invited to the Directions on Hedging of Foreign Exchange Risk issued vide A.P. (DIR Series) Circular No. 29 dated April 7, 2020. The Directions were to come into effect from June 1, 2020.</w:t>
      </w:r>
    </w:p>
    <w:p w14:paraId="4815181E" w14:textId="77777777" w:rsidR="0060429F" w:rsidRPr="00C902C8" w:rsidRDefault="0060429F" w:rsidP="0060429F">
      <w:pPr>
        <w:spacing w:after="0" w:line="240" w:lineRule="auto"/>
        <w:jc w:val="both"/>
        <w:rPr>
          <w:rFonts w:ascii="Times New Roman" w:hAnsi="Times New Roman" w:cs="Times New Roman"/>
          <w:sz w:val="24"/>
          <w:szCs w:val="24"/>
        </w:rPr>
      </w:pPr>
    </w:p>
    <w:p w14:paraId="6C4B1023"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2. Based on the requests received from market participants and in the context of the difficulties arising from the outbreak of novel coronavirus disease (COVID-19), it has been decided that the Directions will now come into effect from September 1, 2020.</w:t>
      </w:r>
    </w:p>
    <w:p w14:paraId="16B6F55F" w14:textId="77777777" w:rsidR="0060429F" w:rsidRPr="00C902C8" w:rsidRDefault="0060429F" w:rsidP="0060429F">
      <w:pPr>
        <w:spacing w:after="0" w:line="240" w:lineRule="auto"/>
        <w:jc w:val="both"/>
        <w:rPr>
          <w:rFonts w:ascii="Times New Roman" w:hAnsi="Times New Roman" w:cs="Times New Roman"/>
          <w:sz w:val="24"/>
          <w:szCs w:val="24"/>
        </w:rPr>
      </w:pPr>
    </w:p>
    <w:p w14:paraId="03EFEB4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Directions on the participation of Banks in Offshore Non-deliverable Rupee Derivative Markets issued vide A.P. (DIR Series) Circular No. 23 dated March 27, 2020 will come into effect from June 1, 2020, as hitherto.</w:t>
      </w:r>
    </w:p>
    <w:p w14:paraId="2622756A" w14:textId="77777777" w:rsidR="0060429F" w:rsidRPr="00C902C8" w:rsidRDefault="0060429F" w:rsidP="0060429F">
      <w:pPr>
        <w:spacing w:after="0" w:line="240" w:lineRule="auto"/>
        <w:jc w:val="both"/>
        <w:rPr>
          <w:rFonts w:ascii="Times New Roman" w:hAnsi="Times New Roman" w:cs="Times New Roman"/>
          <w:sz w:val="24"/>
          <w:szCs w:val="24"/>
        </w:rPr>
      </w:pPr>
    </w:p>
    <w:p w14:paraId="12FF1CD5"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this circular have been issued under Sections 10(4) and 11(1) of the Foreign Exchange Management Act, 1999 (42 of 1999) and are without prejudice to permissions/ approvals, if any, required under any other law.</w:t>
      </w:r>
    </w:p>
    <w:p w14:paraId="6001C921"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bookmarkEnd w:id="3"/>
    <w:p w14:paraId="3F8DE835" w14:textId="77777777" w:rsidR="0060429F" w:rsidRPr="00C902C8" w:rsidRDefault="0060429F" w:rsidP="0060429F">
      <w:pPr>
        <w:spacing w:after="0" w:line="240" w:lineRule="auto"/>
        <w:jc w:val="both"/>
        <w:rPr>
          <w:rFonts w:ascii="Times New Roman" w:hAnsi="Times New Roman" w:cs="Times New Roman"/>
          <w:sz w:val="24"/>
          <w:szCs w:val="24"/>
        </w:rPr>
      </w:pPr>
    </w:p>
    <w:p w14:paraId="0AA792E8" w14:textId="77777777" w:rsidR="0060429F" w:rsidRDefault="0060429F" w:rsidP="0060429F">
      <w:pPr>
        <w:spacing w:after="0" w:line="240" w:lineRule="auto"/>
        <w:jc w:val="both"/>
        <w:rPr>
          <w:rFonts w:ascii="Times New Roman" w:hAnsi="Times New Roman" w:cs="Times New Roman"/>
          <w:b/>
          <w:bCs/>
          <w:sz w:val="24"/>
          <w:szCs w:val="24"/>
        </w:rPr>
      </w:pPr>
      <w:bookmarkStart w:id="4" w:name="_Hlk43632086"/>
    </w:p>
    <w:p w14:paraId="59BB8427" w14:textId="77777777" w:rsidR="0060429F"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Import of goods and services- Extension of time limits for Settlement of import payment</w:t>
      </w:r>
    </w:p>
    <w:p w14:paraId="09C9BD03" w14:textId="77777777" w:rsidR="0060429F" w:rsidRPr="00C902C8" w:rsidRDefault="0060429F" w:rsidP="0060429F">
      <w:pPr>
        <w:spacing w:after="0" w:line="240" w:lineRule="auto"/>
        <w:jc w:val="both"/>
        <w:rPr>
          <w:rFonts w:ascii="Times New Roman" w:hAnsi="Times New Roman" w:cs="Times New Roman"/>
          <w:b/>
          <w:bCs/>
          <w:sz w:val="24"/>
          <w:szCs w:val="24"/>
        </w:rPr>
      </w:pPr>
    </w:p>
    <w:p w14:paraId="1B64E4B3"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RBI/2019-20/242 A.P. (DIR Series) Circular </w:t>
      </w:r>
      <w:proofErr w:type="spellStart"/>
      <w:r w:rsidRPr="00C902C8">
        <w:rPr>
          <w:rFonts w:ascii="Times New Roman" w:hAnsi="Times New Roman" w:cs="Times New Roman"/>
          <w:sz w:val="24"/>
          <w:szCs w:val="24"/>
        </w:rPr>
        <w:t>No.33</w:t>
      </w:r>
      <w:proofErr w:type="spellEnd"/>
      <w:r w:rsidRPr="00C902C8">
        <w:rPr>
          <w:rFonts w:ascii="Times New Roman" w:hAnsi="Times New Roman" w:cs="Times New Roman"/>
          <w:sz w:val="24"/>
          <w:szCs w:val="24"/>
        </w:rPr>
        <w:t xml:space="preserve">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22, 2020</w:t>
      </w:r>
    </w:p>
    <w:p w14:paraId="08A65AE2" w14:textId="77777777" w:rsidR="0060429F" w:rsidRPr="00C902C8" w:rsidRDefault="0060429F" w:rsidP="0060429F">
      <w:pPr>
        <w:spacing w:after="0" w:line="240" w:lineRule="auto"/>
        <w:jc w:val="both"/>
        <w:rPr>
          <w:rFonts w:ascii="Times New Roman" w:hAnsi="Times New Roman" w:cs="Times New Roman"/>
          <w:sz w:val="24"/>
          <w:szCs w:val="24"/>
        </w:rPr>
      </w:pPr>
    </w:p>
    <w:p w14:paraId="70F937E3"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23E1EA9D"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Category - I Authorised Dealer Banks</w:t>
      </w:r>
    </w:p>
    <w:p w14:paraId="2CF25949" w14:textId="77777777" w:rsidR="0060429F" w:rsidRPr="00C902C8" w:rsidRDefault="0060429F" w:rsidP="0060429F">
      <w:pPr>
        <w:spacing w:after="0" w:line="240" w:lineRule="auto"/>
        <w:jc w:val="both"/>
        <w:rPr>
          <w:rFonts w:ascii="Times New Roman" w:hAnsi="Times New Roman" w:cs="Times New Roman"/>
          <w:sz w:val="24"/>
          <w:szCs w:val="24"/>
        </w:rPr>
      </w:pPr>
    </w:p>
    <w:p w14:paraId="68580D99"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para 5 of Statement on Developmental and Regulatory Policies issued today. In this connection the attention of Authorised Dealer Category -I banks is invited to para </w:t>
      </w:r>
      <w:proofErr w:type="spellStart"/>
      <w:r w:rsidRPr="00C902C8">
        <w:rPr>
          <w:rFonts w:ascii="Times New Roman" w:hAnsi="Times New Roman" w:cs="Times New Roman"/>
          <w:sz w:val="24"/>
          <w:szCs w:val="24"/>
        </w:rPr>
        <w:t>B.5.1</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of the ‘Master Direction on Import of Goods and Services’ dated January 01, 2016 (as amended from time to time), in terms of which remittances against normal imports (i.e. excluding import of gold/diamonds and precious stones/ jewellery) should be completed not later than six months from the date of shipment, except in cases where amounts are withheld towards guarantee of performance etc.</w:t>
      </w:r>
    </w:p>
    <w:p w14:paraId="150E9CBF" w14:textId="77777777" w:rsidR="0060429F" w:rsidRPr="00C902C8" w:rsidRDefault="0060429F" w:rsidP="0060429F">
      <w:pPr>
        <w:spacing w:after="0" w:line="240" w:lineRule="auto"/>
        <w:jc w:val="both"/>
        <w:rPr>
          <w:rFonts w:ascii="Times New Roman" w:hAnsi="Times New Roman" w:cs="Times New Roman"/>
          <w:sz w:val="24"/>
          <w:szCs w:val="24"/>
        </w:rPr>
      </w:pPr>
    </w:p>
    <w:p w14:paraId="6CA01005"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view of the disruptions due to outbreak of COVID- 19 pandemic, it has been decided to extend the time period for completion of remittances against such normal imports (except in cases where amounts are withheld towards guarantee of performance etc.) from six months to twelve months from the date of shipment for such imports made on or before July 31, 2020.</w:t>
      </w:r>
    </w:p>
    <w:p w14:paraId="53937857" w14:textId="77777777" w:rsidR="0060429F" w:rsidRPr="00C902C8" w:rsidRDefault="0060429F" w:rsidP="0060429F">
      <w:pPr>
        <w:spacing w:after="0" w:line="240" w:lineRule="auto"/>
        <w:jc w:val="both"/>
        <w:rPr>
          <w:rFonts w:ascii="Times New Roman" w:hAnsi="Times New Roman" w:cs="Times New Roman"/>
          <w:sz w:val="24"/>
          <w:szCs w:val="24"/>
        </w:rPr>
      </w:pPr>
    </w:p>
    <w:p w14:paraId="5B7C8A6E"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AD banks may bring the contents of this circular to the notice of their constituents concerned.</w:t>
      </w:r>
    </w:p>
    <w:p w14:paraId="53D77C38" w14:textId="77777777" w:rsidR="0060429F" w:rsidRPr="00C902C8" w:rsidRDefault="0060429F" w:rsidP="0060429F">
      <w:pPr>
        <w:spacing w:after="0" w:line="240" w:lineRule="auto"/>
        <w:jc w:val="both"/>
        <w:rPr>
          <w:rFonts w:ascii="Times New Roman" w:hAnsi="Times New Roman" w:cs="Times New Roman"/>
          <w:sz w:val="24"/>
          <w:szCs w:val="24"/>
        </w:rPr>
      </w:pPr>
    </w:p>
    <w:p w14:paraId="0CC55D85"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this circular have been issued under Section 10 (4) and Section 11 (1) of the Foreign Exchange Management Act (FEMA), 1999 (42 of 1999) and are without prejudice to permissions / approvals, if any, required under any other law.</w:t>
      </w:r>
    </w:p>
    <w:p w14:paraId="0AA15D62"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bookmarkEnd w:id="4"/>
    <w:p w14:paraId="6B883691" w14:textId="77777777" w:rsidR="0060429F" w:rsidRPr="00C902C8" w:rsidRDefault="0060429F" w:rsidP="0060429F">
      <w:pPr>
        <w:spacing w:after="0" w:line="240" w:lineRule="auto"/>
        <w:jc w:val="both"/>
        <w:rPr>
          <w:rFonts w:ascii="Times New Roman" w:hAnsi="Times New Roman" w:cs="Times New Roman"/>
          <w:sz w:val="24"/>
          <w:szCs w:val="24"/>
        </w:rPr>
      </w:pPr>
    </w:p>
    <w:p w14:paraId="6483541E" w14:textId="77777777" w:rsidR="0060429F" w:rsidRDefault="0060429F" w:rsidP="0060429F">
      <w:pPr>
        <w:spacing w:after="0" w:line="240" w:lineRule="auto"/>
        <w:jc w:val="both"/>
        <w:rPr>
          <w:rFonts w:ascii="Times New Roman" w:hAnsi="Times New Roman" w:cs="Times New Roman"/>
          <w:b/>
          <w:bCs/>
          <w:sz w:val="24"/>
          <w:szCs w:val="24"/>
        </w:rPr>
      </w:pPr>
      <w:bookmarkStart w:id="5" w:name="_Hlk43631988"/>
      <w:bookmarkStart w:id="6" w:name="_Hlk43632140"/>
    </w:p>
    <w:p w14:paraId="1D3EF278" w14:textId="77777777" w:rsidR="0060429F"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Pre-shipment and Post-shipment Export Credit – Extension of Period of Advance</w:t>
      </w:r>
    </w:p>
    <w:p w14:paraId="12E8AAD5" w14:textId="77777777" w:rsidR="0060429F" w:rsidRPr="00C902C8" w:rsidRDefault="0060429F" w:rsidP="0060429F">
      <w:pPr>
        <w:spacing w:after="0" w:line="240" w:lineRule="auto"/>
        <w:jc w:val="both"/>
        <w:rPr>
          <w:rFonts w:ascii="Times New Roman" w:hAnsi="Times New Roman" w:cs="Times New Roman"/>
          <w:b/>
          <w:bCs/>
          <w:sz w:val="24"/>
          <w:szCs w:val="24"/>
        </w:rPr>
      </w:pPr>
    </w:p>
    <w:p w14:paraId="02EE5A91"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RBI/2019-20/246 </w:t>
      </w:r>
      <w:proofErr w:type="spellStart"/>
      <w:r w:rsidRPr="00C902C8">
        <w:rPr>
          <w:rFonts w:ascii="Times New Roman" w:hAnsi="Times New Roman" w:cs="Times New Roman"/>
          <w:sz w:val="24"/>
          <w:szCs w:val="24"/>
        </w:rPr>
        <w:t>DOR.DIR.BC.No.73</w:t>
      </w:r>
      <w:proofErr w:type="spellEnd"/>
      <w:r w:rsidRPr="00C902C8">
        <w:rPr>
          <w:rFonts w:ascii="Times New Roman" w:hAnsi="Times New Roman" w:cs="Times New Roman"/>
          <w:sz w:val="24"/>
          <w:szCs w:val="24"/>
        </w:rPr>
        <w:t xml:space="preserve">/04.02.002/2019-20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23, 2020</w:t>
      </w:r>
    </w:p>
    <w:p w14:paraId="0D150E19" w14:textId="77777777" w:rsidR="0060429F" w:rsidRPr="00C902C8" w:rsidRDefault="0060429F" w:rsidP="0060429F">
      <w:pPr>
        <w:spacing w:after="0" w:line="240" w:lineRule="auto"/>
        <w:jc w:val="both"/>
        <w:rPr>
          <w:rFonts w:ascii="Times New Roman" w:hAnsi="Times New Roman" w:cs="Times New Roman"/>
          <w:sz w:val="24"/>
          <w:szCs w:val="24"/>
        </w:rPr>
      </w:pPr>
    </w:p>
    <w:p w14:paraId="7BCA890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All Scheduled Commercial Banks (excluding </w:t>
      </w:r>
      <w:proofErr w:type="spellStart"/>
      <w:r w:rsidRPr="00C902C8">
        <w:rPr>
          <w:rFonts w:ascii="Times New Roman" w:hAnsi="Times New Roman" w:cs="Times New Roman"/>
          <w:sz w:val="24"/>
          <w:szCs w:val="24"/>
        </w:rPr>
        <w:t>RRBs</w:t>
      </w:r>
      <w:proofErr w:type="spellEnd"/>
      <w:r w:rsidRPr="00C902C8">
        <w:rPr>
          <w:rFonts w:ascii="Times New Roman" w:hAnsi="Times New Roman" w:cs="Times New Roman"/>
          <w:sz w:val="24"/>
          <w:szCs w:val="24"/>
        </w:rPr>
        <w:t>)/ All Primary Urban Co-operative Banks/All Small Finance Banks</w:t>
      </w:r>
    </w:p>
    <w:p w14:paraId="23F6FDD7" w14:textId="77777777" w:rsidR="0060429F" w:rsidRPr="00C902C8" w:rsidRDefault="0060429F" w:rsidP="0060429F">
      <w:pPr>
        <w:spacing w:after="0" w:line="240" w:lineRule="auto"/>
        <w:jc w:val="both"/>
        <w:rPr>
          <w:rFonts w:ascii="Times New Roman" w:hAnsi="Times New Roman" w:cs="Times New Roman"/>
          <w:sz w:val="24"/>
          <w:szCs w:val="24"/>
        </w:rPr>
      </w:pPr>
    </w:p>
    <w:p w14:paraId="5574EFDB"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 xml:space="preserve">Please refer to the Master Circular on ‘Rupee / Foreign Currency Export Credit and Customer Service to Exporters’ issued vide </w:t>
      </w:r>
      <w:proofErr w:type="spellStart"/>
      <w:r w:rsidRPr="00C902C8">
        <w:rPr>
          <w:rFonts w:ascii="Times New Roman" w:hAnsi="Times New Roman" w:cs="Times New Roman"/>
          <w:sz w:val="24"/>
          <w:szCs w:val="24"/>
        </w:rPr>
        <w:t>DBR.No.DIR.BC.14</w:t>
      </w:r>
      <w:proofErr w:type="spellEnd"/>
      <w:r w:rsidRPr="00C902C8">
        <w:rPr>
          <w:rFonts w:ascii="Times New Roman" w:hAnsi="Times New Roman" w:cs="Times New Roman"/>
          <w:sz w:val="24"/>
          <w:szCs w:val="24"/>
        </w:rPr>
        <w:t>/04.02.002/2015-16 dated July 1, 2015 and other associated circulars on the subject.</w:t>
      </w:r>
    </w:p>
    <w:p w14:paraId="02227ABB" w14:textId="77777777" w:rsidR="0060429F" w:rsidRPr="00C902C8" w:rsidRDefault="0060429F" w:rsidP="0060429F">
      <w:pPr>
        <w:spacing w:after="0" w:line="240" w:lineRule="auto"/>
        <w:jc w:val="both"/>
        <w:rPr>
          <w:rFonts w:ascii="Times New Roman" w:hAnsi="Times New Roman" w:cs="Times New Roman"/>
          <w:sz w:val="24"/>
          <w:szCs w:val="24"/>
        </w:rPr>
      </w:pPr>
    </w:p>
    <w:p w14:paraId="7FCB070F"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In view of the outbreak of Covid-19 pandemic, the exporters have been facing genuine difficulties such as delay / postponement of orders, delay in realisation of bills, etc. In this regard, RBI has already permitted the period of realisation and repatriation of the export proceeds to India to be increased from nine months to 15 months from the date of export in respect of exports made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July 31, 2020. In line with this relaxation, it has been decided to increase the maximum permissible period of pre-shipment and post-shipment export credit sanctioned by banks from one year to 15 months, for disbursements made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July 31, 2020.</w:t>
      </w:r>
    </w:p>
    <w:bookmarkEnd w:id="5"/>
    <w:p w14:paraId="2ADAD452"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bookmarkEnd w:id="6"/>
    <w:p w14:paraId="281020BD" w14:textId="77777777" w:rsidR="0060429F" w:rsidRPr="00C902C8" w:rsidRDefault="0060429F" w:rsidP="0060429F">
      <w:pPr>
        <w:spacing w:after="0" w:line="240" w:lineRule="auto"/>
        <w:jc w:val="both"/>
        <w:rPr>
          <w:rFonts w:ascii="Times New Roman" w:hAnsi="Times New Roman" w:cs="Times New Roman"/>
          <w:sz w:val="24"/>
          <w:szCs w:val="24"/>
        </w:rPr>
      </w:pPr>
    </w:p>
    <w:p w14:paraId="50490A31" w14:textId="77777777" w:rsidR="0060429F" w:rsidRPr="00C902C8" w:rsidRDefault="0060429F" w:rsidP="0060429F">
      <w:pPr>
        <w:spacing w:after="0" w:line="240" w:lineRule="auto"/>
        <w:jc w:val="both"/>
        <w:rPr>
          <w:rFonts w:ascii="Times New Roman" w:hAnsi="Times New Roman" w:cs="Times New Roman"/>
          <w:sz w:val="24"/>
          <w:szCs w:val="24"/>
        </w:rPr>
      </w:pPr>
    </w:p>
    <w:p w14:paraId="1D18D5AA" w14:textId="77777777" w:rsidR="0060429F" w:rsidRPr="00C902C8" w:rsidRDefault="0060429F" w:rsidP="0060429F">
      <w:pPr>
        <w:spacing w:after="0" w:line="240" w:lineRule="auto"/>
        <w:ind w:left="5760" w:firstLine="720"/>
        <w:jc w:val="both"/>
        <w:rPr>
          <w:rFonts w:ascii="Times New Roman" w:hAnsi="Times New Roman" w:cs="Times New Roman"/>
          <w:sz w:val="24"/>
          <w:szCs w:val="24"/>
        </w:rPr>
      </w:pPr>
      <w:r w:rsidRPr="00C902C8">
        <w:rPr>
          <w:rFonts w:ascii="Times New Roman" w:hAnsi="Times New Roman" w:cs="Times New Roman"/>
          <w:sz w:val="24"/>
          <w:szCs w:val="24"/>
        </w:rPr>
        <w:t>Date 23rd January 2020</w:t>
      </w:r>
    </w:p>
    <w:p w14:paraId="5CC9A8C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All Members of </w:t>
      </w:r>
      <w:proofErr w:type="spellStart"/>
      <w:r w:rsidRPr="00C902C8">
        <w:rPr>
          <w:rFonts w:ascii="Times New Roman" w:hAnsi="Times New Roman" w:cs="Times New Roman"/>
          <w:sz w:val="24"/>
          <w:szCs w:val="24"/>
        </w:rPr>
        <w:t>FEDAI</w:t>
      </w:r>
      <w:proofErr w:type="spellEnd"/>
    </w:p>
    <w:p w14:paraId="3F5BF7B0"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Dear Sir/Madam,</w:t>
      </w:r>
    </w:p>
    <w:p w14:paraId="4639F347" w14:textId="77777777" w:rsidR="0060429F" w:rsidRPr="00C902C8" w:rsidRDefault="0060429F" w:rsidP="0060429F">
      <w:pPr>
        <w:spacing w:after="0" w:line="240" w:lineRule="auto"/>
        <w:jc w:val="both"/>
        <w:rPr>
          <w:rFonts w:ascii="Times New Roman" w:hAnsi="Times New Roman" w:cs="Times New Roman"/>
          <w:sz w:val="24"/>
          <w:szCs w:val="24"/>
        </w:rPr>
      </w:pPr>
    </w:p>
    <w:p w14:paraId="3836CA8D"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Managing Committee in its meeting dated 21st January 2020 approved following amendment to </w:t>
      </w:r>
      <w:proofErr w:type="spellStart"/>
      <w:r w:rsidRPr="00C902C8">
        <w:rPr>
          <w:rFonts w:ascii="Times New Roman" w:hAnsi="Times New Roman" w:cs="Times New Roman"/>
          <w:sz w:val="24"/>
          <w:szCs w:val="24"/>
        </w:rPr>
        <w:t>FEDAI</w:t>
      </w:r>
      <w:proofErr w:type="spellEnd"/>
      <w:r w:rsidRPr="00C902C8">
        <w:rPr>
          <w:rFonts w:ascii="Times New Roman" w:hAnsi="Times New Roman" w:cs="Times New Roman"/>
          <w:sz w:val="24"/>
          <w:szCs w:val="24"/>
        </w:rPr>
        <w:t xml:space="preserve"> Rules </w:t>
      </w:r>
      <w:proofErr w:type="spellStart"/>
      <w:r w:rsidRPr="00C902C8">
        <w:rPr>
          <w:rFonts w:ascii="Times New Roman" w:hAnsi="Times New Roman" w:cs="Times New Roman"/>
          <w:sz w:val="24"/>
          <w:szCs w:val="24"/>
        </w:rPr>
        <w:t>No.1</w:t>
      </w:r>
      <w:proofErr w:type="spellEnd"/>
    </w:p>
    <w:p w14:paraId="2905624F" w14:textId="77777777" w:rsidR="0060429F" w:rsidRPr="00C902C8" w:rsidRDefault="0060429F" w:rsidP="0060429F">
      <w:pPr>
        <w:spacing w:after="0" w:line="240" w:lineRule="auto"/>
        <w:jc w:val="both"/>
        <w:rPr>
          <w:rFonts w:ascii="Times New Roman" w:hAnsi="Times New Roman" w:cs="Times New Roman"/>
          <w:sz w:val="24"/>
          <w:szCs w:val="24"/>
        </w:rPr>
      </w:pPr>
    </w:p>
    <w:p w14:paraId="4E99376E" w14:textId="77777777" w:rsidR="0060429F" w:rsidRPr="00C902C8" w:rsidRDefault="0060429F" w:rsidP="0060429F">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8"/>
        <w:gridCol w:w="4508"/>
      </w:tblGrid>
      <w:tr w:rsidR="0060429F" w:rsidRPr="00C902C8" w14:paraId="40219C97" w14:textId="77777777" w:rsidTr="00152D76">
        <w:tc>
          <w:tcPr>
            <w:tcW w:w="4508" w:type="dxa"/>
          </w:tcPr>
          <w:p w14:paraId="66F062C8"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EXISTING RULE</w:t>
            </w:r>
          </w:p>
        </w:tc>
        <w:tc>
          <w:tcPr>
            <w:tcW w:w="4508" w:type="dxa"/>
          </w:tcPr>
          <w:p w14:paraId="2F0A7B1C"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REVISED RULE</w:t>
            </w:r>
          </w:p>
        </w:tc>
      </w:tr>
      <w:tr w:rsidR="0060429F" w:rsidRPr="00C902C8" w14:paraId="34E6A156" w14:textId="77777777" w:rsidTr="00152D76">
        <w:tc>
          <w:tcPr>
            <w:tcW w:w="4508" w:type="dxa"/>
          </w:tcPr>
          <w:p w14:paraId="64812844" w14:textId="77777777" w:rsidR="0060429F" w:rsidRPr="00C902C8" w:rsidRDefault="0060429F" w:rsidP="00152D76">
            <w:pPr>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Rule </w:t>
            </w:r>
            <w:proofErr w:type="spellStart"/>
            <w:r w:rsidRPr="00C902C8">
              <w:rPr>
                <w:rFonts w:ascii="Times New Roman" w:hAnsi="Times New Roman" w:cs="Times New Roman"/>
                <w:b/>
                <w:bCs/>
                <w:sz w:val="24"/>
                <w:szCs w:val="24"/>
              </w:rPr>
              <w:t>No.1.1</w:t>
            </w:r>
            <w:proofErr w:type="spellEnd"/>
          </w:p>
          <w:p w14:paraId="49F2A99F"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The exchange trading hours for INR/FCY transactions in Inter-bank forex market in India would be from 9.00 a.m. to 5.00 p.m. No customer transaction for INR/FCY should be undertaken by the Authorised Dealers after 4.30 p.m. on all working days.</w:t>
            </w:r>
          </w:p>
        </w:tc>
        <w:tc>
          <w:tcPr>
            <w:tcW w:w="4508" w:type="dxa"/>
          </w:tcPr>
          <w:p w14:paraId="7D620855"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The normal market hours for FCY/INR transactions in Inter-bank forex market as well as client transactions in India would be from 9.00 a.m. to 5.00 p.m. IST on all working days</w:t>
            </w:r>
          </w:p>
        </w:tc>
      </w:tr>
      <w:tr w:rsidR="0060429F" w:rsidRPr="00C902C8" w14:paraId="0BC8C792" w14:textId="77777777" w:rsidTr="00152D76">
        <w:tc>
          <w:tcPr>
            <w:tcW w:w="4508" w:type="dxa"/>
          </w:tcPr>
          <w:p w14:paraId="0EC82ED8" w14:textId="77777777" w:rsidR="0060429F" w:rsidRPr="00C902C8" w:rsidRDefault="0060429F" w:rsidP="00152D76">
            <w:pPr>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Rule </w:t>
            </w:r>
            <w:proofErr w:type="spellStart"/>
            <w:r w:rsidRPr="00C902C8">
              <w:rPr>
                <w:rFonts w:ascii="Times New Roman" w:hAnsi="Times New Roman" w:cs="Times New Roman"/>
                <w:b/>
                <w:bCs/>
                <w:sz w:val="24"/>
                <w:szCs w:val="24"/>
              </w:rPr>
              <w:t>No.1.2</w:t>
            </w:r>
            <w:proofErr w:type="spellEnd"/>
          </w:p>
          <w:p w14:paraId="30B9DCB3"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A) Cut-off time limit stated above for Interbank/Customers is not applicable for cross currency transactions.</w:t>
            </w:r>
          </w:p>
          <w:p w14:paraId="65549CC3" w14:textId="77777777" w:rsidR="0060429F" w:rsidRPr="00C902C8" w:rsidRDefault="0060429F" w:rsidP="00152D76">
            <w:pPr>
              <w:jc w:val="both"/>
              <w:rPr>
                <w:rFonts w:ascii="Times New Roman" w:hAnsi="Times New Roman" w:cs="Times New Roman"/>
                <w:sz w:val="24"/>
                <w:szCs w:val="24"/>
              </w:rPr>
            </w:pPr>
          </w:p>
          <w:p w14:paraId="7A0EC798"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(B) Cut-off time limit stated above in Rule 1.1, is not applicable to FCY/INR transaction for individual person (including joint account or proprietary firm). Any transaction undertaken beyond the market hours prescribed under Rule 1.1, bank must ensure that:</w:t>
            </w:r>
          </w:p>
          <w:p w14:paraId="240BFB7F" w14:textId="77777777" w:rsidR="0060429F" w:rsidRPr="00C902C8" w:rsidRDefault="0060429F" w:rsidP="00152D76">
            <w:pPr>
              <w:jc w:val="both"/>
              <w:rPr>
                <w:rFonts w:ascii="Times New Roman" w:hAnsi="Times New Roman" w:cs="Times New Roman"/>
                <w:sz w:val="24"/>
                <w:szCs w:val="24"/>
              </w:rPr>
            </w:pPr>
          </w:p>
          <w:p w14:paraId="7ABBF28D" w14:textId="77777777" w:rsidR="0060429F" w:rsidRPr="00C902C8" w:rsidRDefault="0060429F" w:rsidP="00152D76">
            <w:pPr>
              <w:jc w:val="both"/>
              <w:rPr>
                <w:rFonts w:ascii="Times New Roman" w:hAnsi="Times New Roman" w:cs="Times New Roman"/>
                <w:sz w:val="24"/>
                <w:szCs w:val="24"/>
              </w:rPr>
            </w:pP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xml:space="preserve">. Charges including exchange rate for conversion be confirmed from customer prior to undertaking the transaction </w:t>
            </w:r>
          </w:p>
          <w:p w14:paraId="17550D00" w14:textId="77777777" w:rsidR="0060429F" w:rsidRPr="00C902C8" w:rsidRDefault="0060429F" w:rsidP="00152D76">
            <w:pPr>
              <w:jc w:val="both"/>
              <w:rPr>
                <w:rFonts w:ascii="Times New Roman" w:hAnsi="Times New Roman" w:cs="Times New Roman"/>
                <w:sz w:val="24"/>
                <w:szCs w:val="24"/>
              </w:rPr>
            </w:pPr>
          </w:p>
          <w:p w14:paraId="34E0838E"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 xml:space="preserve">ii. </w:t>
            </w:r>
            <w:proofErr w:type="spellStart"/>
            <w:r w:rsidRPr="00C902C8">
              <w:rPr>
                <w:rFonts w:ascii="Times New Roman" w:hAnsi="Times New Roman" w:cs="Times New Roman"/>
                <w:sz w:val="24"/>
                <w:szCs w:val="24"/>
              </w:rPr>
              <w:t>NOOP</w:t>
            </w:r>
            <w:proofErr w:type="spellEnd"/>
            <w:r w:rsidRPr="00C902C8">
              <w:rPr>
                <w:rFonts w:ascii="Times New Roman" w:hAnsi="Times New Roman" w:cs="Times New Roman"/>
                <w:sz w:val="24"/>
                <w:szCs w:val="24"/>
              </w:rPr>
              <w:t xml:space="preserve"> Limit is maintained all the times. In terms of paragraph 7.1 of Internal Control Guidelines on Foreign Exchange Business of </w:t>
            </w:r>
            <w:r w:rsidRPr="00C902C8">
              <w:rPr>
                <w:rFonts w:ascii="Times New Roman" w:hAnsi="Times New Roman" w:cs="Times New Roman"/>
                <w:sz w:val="24"/>
                <w:szCs w:val="24"/>
              </w:rPr>
              <w:lastRenderedPageBreak/>
              <w:t>Reserve Bank of India (February 2011), Authorised Dealers are permitted to undertake cross currency transactions during extended hours, provided the Managements lay down the policy for extended dealing hours.</w:t>
            </w:r>
          </w:p>
          <w:p w14:paraId="2423AE29" w14:textId="77777777" w:rsidR="0060429F" w:rsidRPr="00C902C8" w:rsidRDefault="0060429F" w:rsidP="00152D76">
            <w:pPr>
              <w:jc w:val="both"/>
              <w:rPr>
                <w:rFonts w:ascii="Times New Roman" w:hAnsi="Times New Roman" w:cs="Times New Roman"/>
                <w:sz w:val="24"/>
                <w:szCs w:val="24"/>
              </w:rPr>
            </w:pPr>
          </w:p>
        </w:tc>
        <w:tc>
          <w:tcPr>
            <w:tcW w:w="4508" w:type="dxa"/>
          </w:tcPr>
          <w:p w14:paraId="07DD30FE" w14:textId="77777777" w:rsidR="0060429F" w:rsidRPr="00C902C8" w:rsidRDefault="0060429F" w:rsidP="00152D76">
            <w:pPr>
              <w:jc w:val="both"/>
              <w:rPr>
                <w:rFonts w:ascii="Times New Roman" w:hAnsi="Times New Roman" w:cs="Times New Roman"/>
                <w:sz w:val="24"/>
                <w:szCs w:val="24"/>
              </w:rPr>
            </w:pPr>
          </w:p>
          <w:p w14:paraId="4BAD286F"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(A) Authorised dealers may undertake customer (persons resident in India and persons resident outside India) and inter-bank transactions on all working days beyond normal market hours.</w:t>
            </w:r>
          </w:p>
          <w:p w14:paraId="4CF511F3" w14:textId="77777777" w:rsidR="0060429F" w:rsidRPr="00C902C8" w:rsidRDefault="0060429F" w:rsidP="00152D76">
            <w:pPr>
              <w:jc w:val="both"/>
              <w:rPr>
                <w:rFonts w:ascii="Times New Roman" w:hAnsi="Times New Roman" w:cs="Times New Roman"/>
                <w:sz w:val="24"/>
                <w:szCs w:val="24"/>
              </w:rPr>
            </w:pPr>
          </w:p>
          <w:p w14:paraId="70BE7922"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(B) Transactions with persons resident outside India, through their foreign branches and subsidiaries may also be undertaken on all working days beyond normal market hours.</w:t>
            </w:r>
          </w:p>
          <w:p w14:paraId="5639EFBB" w14:textId="77777777" w:rsidR="0060429F" w:rsidRPr="00C902C8" w:rsidRDefault="0060429F" w:rsidP="00152D76">
            <w:pPr>
              <w:jc w:val="both"/>
              <w:rPr>
                <w:rFonts w:ascii="Times New Roman" w:hAnsi="Times New Roman" w:cs="Times New Roman"/>
                <w:sz w:val="24"/>
                <w:szCs w:val="24"/>
              </w:rPr>
            </w:pPr>
          </w:p>
          <w:p w14:paraId="07AEC5CF"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 xml:space="preserve">(C) However, value Cash transactions may be undertaken only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5.00 pm IST, except in case of individual person (including joint account or proprietary firm)</w:t>
            </w:r>
          </w:p>
          <w:p w14:paraId="56E746C0" w14:textId="77777777" w:rsidR="0060429F" w:rsidRPr="00C902C8" w:rsidRDefault="0060429F" w:rsidP="00152D76">
            <w:pPr>
              <w:jc w:val="both"/>
              <w:rPr>
                <w:rFonts w:ascii="Times New Roman" w:hAnsi="Times New Roman" w:cs="Times New Roman"/>
                <w:sz w:val="24"/>
                <w:szCs w:val="24"/>
              </w:rPr>
            </w:pPr>
          </w:p>
          <w:p w14:paraId="01922891"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 xml:space="preserve">(D) Transactions, including value cash transactions, for individual persons </w:t>
            </w:r>
            <w:r w:rsidRPr="00C902C8">
              <w:rPr>
                <w:rFonts w:ascii="Times New Roman" w:hAnsi="Times New Roman" w:cs="Times New Roman"/>
                <w:sz w:val="24"/>
                <w:szCs w:val="24"/>
              </w:rPr>
              <w:lastRenderedPageBreak/>
              <w:t>(including joint account or proprietary firm) can be undertaken even on Saturdays, Sundays and holidays as per banks internal policy.</w:t>
            </w:r>
          </w:p>
          <w:p w14:paraId="5F2AFCF8" w14:textId="77777777" w:rsidR="0060429F" w:rsidRPr="00C902C8" w:rsidRDefault="0060429F" w:rsidP="00152D76">
            <w:pPr>
              <w:jc w:val="both"/>
              <w:rPr>
                <w:rFonts w:ascii="Times New Roman" w:hAnsi="Times New Roman" w:cs="Times New Roman"/>
                <w:sz w:val="24"/>
                <w:szCs w:val="24"/>
              </w:rPr>
            </w:pPr>
          </w:p>
          <w:p w14:paraId="0F379C13"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(E) Any transaction undertaken beyond the market hours prescribed under Rule 1.1, bank must ensure that:</w:t>
            </w:r>
          </w:p>
          <w:p w14:paraId="636B4C02" w14:textId="77777777" w:rsidR="0060429F" w:rsidRPr="00C902C8" w:rsidRDefault="0060429F" w:rsidP="00152D76">
            <w:pPr>
              <w:jc w:val="both"/>
              <w:rPr>
                <w:rFonts w:ascii="Times New Roman" w:hAnsi="Times New Roman" w:cs="Times New Roman"/>
                <w:sz w:val="24"/>
                <w:szCs w:val="24"/>
              </w:rPr>
            </w:pPr>
          </w:p>
          <w:p w14:paraId="264FD107" w14:textId="77777777" w:rsidR="0060429F" w:rsidRPr="00C902C8" w:rsidRDefault="0060429F" w:rsidP="00152D76">
            <w:pPr>
              <w:jc w:val="both"/>
              <w:rPr>
                <w:rFonts w:ascii="Times New Roman" w:hAnsi="Times New Roman" w:cs="Times New Roman"/>
                <w:sz w:val="24"/>
                <w:szCs w:val="24"/>
              </w:rPr>
            </w:pPr>
            <w:proofErr w:type="spellStart"/>
            <w:r w:rsidRPr="00C902C8">
              <w:rPr>
                <w:rFonts w:ascii="Times New Roman" w:hAnsi="Times New Roman" w:cs="Times New Roman"/>
                <w:sz w:val="24"/>
                <w:szCs w:val="24"/>
              </w:rPr>
              <w:t>NOOP</w:t>
            </w:r>
            <w:proofErr w:type="spellEnd"/>
            <w:r w:rsidRPr="00C902C8">
              <w:rPr>
                <w:rFonts w:ascii="Times New Roman" w:hAnsi="Times New Roman" w:cs="Times New Roman"/>
                <w:sz w:val="24"/>
                <w:szCs w:val="24"/>
              </w:rPr>
              <w:t xml:space="preserve"> Limit is maintained all the times. [including transactions executed from EOD to 9.00 am IST (market opening time) next working day]</w:t>
            </w:r>
          </w:p>
          <w:p w14:paraId="5F12CD63" w14:textId="77777777" w:rsidR="0060429F" w:rsidRPr="00C902C8" w:rsidRDefault="0060429F" w:rsidP="00152D76">
            <w:pPr>
              <w:jc w:val="both"/>
              <w:rPr>
                <w:rFonts w:ascii="Times New Roman" w:hAnsi="Times New Roman" w:cs="Times New Roman"/>
                <w:sz w:val="24"/>
                <w:szCs w:val="24"/>
              </w:rPr>
            </w:pPr>
          </w:p>
          <w:p w14:paraId="6F5E329E"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Spot date Roll over for FCY/INR transactions will take place at 12.00 midnight IST</w:t>
            </w:r>
          </w:p>
        </w:tc>
      </w:tr>
    </w:tbl>
    <w:p w14:paraId="309CDC5E" w14:textId="77777777" w:rsidR="0060429F" w:rsidRPr="00C902C8" w:rsidRDefault="0060429F" w:rsidP="0060429F">
      <w:pPr>
        <w:spacing w:after="0" w:line="240" w:lineRule="auto"/>
        <w:jc w:val="both"/>
        <w:rPr>
          <w:rFonts w:ascii="Times New Roman" w:hAnsi="Times New Roman" w:cs="Times New Roman"/>
          <w:sz w:val="24"/>
          <w:szCs w:val="24"/>
        </w:rPr>
      </w:pPr>
    </w:p>
    <w:p w14:paraId="0CBEE20F"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Member banks are requested to make a note of the above amendments and be guided accordingly.</w:t>
      </w:r>
    </w:p>
    <w:p w14:paraId="11F3201C"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p w14:paraId="372390AA" w14:textId="77777777" w:rsidR="0060429F" w:rsidRPr="00C902C8" w:rsidRDefault="0060429F" w:rsidP="0060429F">
      <w:pPr>
        <w:spacing w:after="0" w:line="240" w:lineRule="auto"/>
        <w:jc w:val="both"/>
        <w:rPr>
          <w:rFonts w:ascii="Times New Roman" w:hAnsi="Times New Roman" w:cs="Times New Roman"/>
          <w:sz w:val="24"/>
          <w:szCs w:val="24"/>
        </w:rPr>
      </w:pPr>
    </w:p>
    <w:p w14:paraId="0EF10316" w14:textId="77777777" w:rsidR="0060429F"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SPL No 2/BV/2020 </w:t>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t>19th March 2020</w:t>
      </w:r>
    </w:p>
    <w:p w14:paraId="4F100BE7" w14:textId="77777777" w:rsidR="0060429F" w:rsidRPr="00C902C8" w:rsidRDefault="0060429F" w:rsidP="0060429F">
      <w:pPr>
        <w:spacing w:after="0" w:line="240" w:lineRule="auto"/>
        <w:jc w:val="both"/>
        <w:rPr>
          <w:rFonts w:ascii="Times New Roman" w:hAnsi="Times New Roman" w:cs="Times New Roman"/>
          <w:b/>
          <w:bCs/>
          <w:sz w:val="24"/>
          <w:szCs w:val="24"/>
        </w:rPr>
      </w:pPr>
    </w:p>
    <w:p w14:paraId="35A57D80"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All Members of </w:t>
      </w:r>
      <w:proofErr w:type="spellStart"/>
      <w:r w:rsidRPr="00C902C8">
        <w:rPr>
          <w:rFonts w:ascii="Times New Roman" w:hAnsi="Times New Roman" w:cs="Times New Roman"/>
          <w:sz w:val="24"/>
          <w:szCs w:val="24"/>
        </w:rPr>
        <w:t>FEDAI</w:t>
      </w:r>
      <w:proofErr w:type="spellEnd"/>
    </w:p>
    <w:p w14:paraId="28CC7683" w14:textId="77777777" w:rsidR="0060429F" w:rsidRPr="00C902C8" w:rsidRDefault="0060429F" w:rsidP="0060429F">
      <w:pPr>
        <w:spacing w:after="0" w:line="240" w:lineRule="auto"/>
        <w:jc w:val="both"/>
        <w:rPr>
          <w:rFonts w:ascii="Times New Roman" w:hAnsi="Times New Roman" w:cs="Times New Roman"/>
          <w:sz w:val="24"/>
          <w:szCs w:val="24"/>
        </w:rPr>
      </w:pPr>
    </w:p>
    <w:p w14:paraId="46EB3F5B"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Dear Sir/Madam,</w:t>
      </w:r>
    </w:p>
    <w:p w14:paraId="49EA4FA3" w14:textId="77777777" w:rsidR="0060429F" w:rsidRPr="00C902C8" w:rsidRDefault="0060429F" w:rsidP="0060429F">
      <w:pPr>
        <w:spacing w:after="0" w:line="240" w:lineRule="auto"/>
        <w:jc w:val="both"/>
        <w:rPr>
          <w:rFonts w:ascii="Times New Roman" w:hAnsi="Times New Roman" w:cs="Times New Roman"/>
          <w:sz w:val="24"/>
          <w:szCs w:val="24"/>
        </w:rPr>
      </w:pPr>
    </w:p>
    <w:p w14:paraId="3CFE084A" w14:textId="77777777" w:rsidR="0060429F" w:rsidRPr="00C902C8"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Sub - Novel Coronavirus (COVID 19) – Temporary relaxations in Forex regulations</w:t>
      </w:r>
    </w:p>
    <w:p w14:paraId="7890E42F" w14:textId="77777777" w:rsidR="0060429F" w:rsidRPr="00C902C8" w:rsidRDefault="0060429F" w:rsidP="0060429F">
      <w:pPr>
        <w:spacing w:after="0" w:line="240" w:lineRule="auto"/>
        <w:jc w:val="both"/>
        <w:rPr>
          <w:rFonts w:ascii="Times New Roman" w:hAnsi="Times New Roman" w:cs="Times New Roman"/>
          <w:b/>
          <w:bCs/>
          <w:sz w:val="24"/>
          <w:szCs w:val="24"/>
        </w:rPr>
      </w:pPr>
    </w:p>
    <w:p w14:paraId="698ECF17"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spread of Novel Coronavirus has brought about an unprecedented global crisis. To combat this unprecedented situation many of the business entities have implemented a number of measures including moving to a remote work environment or where ever possible operating from home and are facing difficulties in fulfilling some of the regulatory requirements while managing the Foreign Exchange Risk. To provide some relief to the corporate in their forex risk management, based on </w:t>
      </w:r>
      <w:proofErr w:type="spellStart"/>
      <w:r w:rsidRPr="00C902C8">
        <w:rPr>
          <w:rFonts w:ascii="Times New Roman" w:hAnsi="Times New Roman" w:cs="Times New Roman"/>
          <w:sz w:val="24"/>
          <w:szCs w:val="24"/>
        </w:rPr>
        <w:t>FEDAI’s</w:t>
      </w:r>
      <w:proofErr w:type="spellEnd"/>
      <w:r w:rsidRPr="00C902C8">
        <w:rPr>
          <w:rFonts w:ascii="Times New Roman" w:hAnsi="Times New Roman" w:cs="Times New Roman"/>
          <w:sz w:val="24"/>
          <w:szCs w:val="24"/>
        </w:rPr>
        <w:t xml:space="preserve"> recommendation, RBI has permitted following relaxations.</w:t>
      </w:r>
    </w:p>
    <w:p w14:paraId="26AB947A" w14:textId="77777777" w:rsidR="0060429F" w:rsidRPr="00C902C8" w:rsidRDefault="0060429F" w:rsidP="0060429F">
      <w:pPr>
        <w:spacing w:after="0" w:line="240" w:lineRule="auto"/>
        <w:jc w:val="both"/>
        <w:rPr>
          <w:rFonts w:ascii="Times New Roman" w:hAnsi="Times New Roman" w:cs="Times New Roman"/>
          <w:sz w:val="24"/>
          <w:szCs w:val="24"/>
        </w:rPr>
      </w:pPr>
    </w:p>
    <w:p w14:paraId="1F6BCE1C" w14:textId="77777777" w:rsidR="0060429F" w:rsidRPr="00C902C8"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1) Submission of underlying documents - Current </w:t>
      </w:r>
      <w:proofErr w:type="spellStart"/>
      <w:r w:rsidRPr="00C902C8">
        <w:rPr>
          <w:rFonts w:ascii="Times New Roman" w:hAnsi="Times New Roman" w:cs="Times New Roman"/>
          <w:b/>
          <w:bCs/>
          <w:sz w:val="24"/>
          <w:szCs w:val="24"/>
        </w:rPr>
        <w:t>Fx</w:t>
      </w:r>
      <w:proofErr w:type="spellEnd"/>
      <w:r w:rsidRPr="00C902C8">
        <w:rPr>
          <w:rFonts w:ascii="Times New Roman" w:hAnsi="Times New Roman" w:cs="Times New Roman"/>
          <w:b/>
          <w:bCs/>
          <w:sz w:val="24"/>
          <w:szCs w:val="24"/>
        </w:rPr>
        <w:t xml:space="preserve"> hedging guidelines</w:t>
      </w:r>
    </w:p>
    <w:p w14:paraId="05CECE15" w14:textId="77777777" w:rsidR="0060429F" w:rsidRPr="00C902C8" w:rsidRDefault="0060429F" w:rsidP="0060429F">
      <w:pPr>
        <w:spacing w:after="0" w:line="240" w:lineRule="auto"/>
        <w:jc w:val="both"/>
        <w:rPr>
          <w:rFonts w:ascii="Times New Roman" w:hAnsi="Times New Roman" w:cs="Times New Roman"/>
          <w:b/>
          <w:bCs/>
          <w:sz w:val="24"/>
          <w:szCs w:val="24"/>
        </w:rPr>
      </w:pPr>
    </w:p>
    <w:p w14:paraId="69C4C129"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Quote ‘while details of the underlying have to be recorded at the time of booking the contract, in the view of logistic issues, a maximum period of 15 days may be allowed for production of the documents. If the documents are not submitted by the customer within 15 days, the contract may be cancelled, and the exchange gain, if any, should not be passed on to the customer’. Unquote.</w:t>
      </w:r>
    </w:p>
    <w:p w14:paraId="3C333150" w14:textId="77777777" w:rsidR="0060429F" w:rsidRPr="00C902C8" w:rsidRDefault="0060429F" w:rsidP="0060429F">
      <w:pPr>
        <w:spacing w:after="0" w:line="240" w:lineRule="auto"/>
        <w:jc w:val="both"/>
        <w:rPr>
          <w:rFonts w:ascii="Times New Roman" w:hAnsi="Times New Roman" w:cs="Times New Roman"/>
          <w:sz w:val="24"/>
          <w:szCs w:val="24"/>
        </w:rPr>
      </w:pPr>
    </w:p>
    <w:p w14:paraId="12F7A7BA"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the present circumstances it may be difficult for corporates to adhere to the requirement of 15-day period and submission of certified true copies (hard copies) of the underlying documents.</w:t>
      </w:r>
    </w:p>
    <w:p w14:paraId="41EA3FFF"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lastRenderedPageBreak/>
        <w:t>Relaxation</w:t>
      </w:r>
      <w:r w:rsidRPr="00C902C8">
        <w:rPr>
          <w:rFonts w:ascii="Times New Roman" w:hAnsi="Times New Roman" w:cs="Times New Roman"/>
          <w:sz w:val="24"/>
          <w:szCs w:val="24"/>
        </w:rPr>
        <w:t xml:space="preserve">–Considering the difficulty faced by corporate AD Banks may allow time of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60 days or date of maturity of contract whichever is earlier, for production of underlying documents by corporates. This would be applicable for the contracts booked between February 15, 2020 to April 15, 2020. This period may be reviewed/extended based on evolving situation.</w:t>
      </w:r>
    </w:p>
    <w:p w14:paraId="52A5E0AB" w14:textId="77777777" w:rsidR="0060429F" w:rsidRPr="00C902C8" w:rsidRDefault="0060429F" w:rsidP="0060429F">
      <w:pPr>
        <w:spacing w:after="0" w:line="240" w:lineRule="auto"/>
        <w:jc w:val="both"/>
        <w:rPr>
          <w:rFonts w:ascii="Times New Roman" w:hAnsi="Times New Roman" w:cs="Times New Roman"/>
          <w:sz w:val="24"/>
          <w:szCs w:val="24"/>
        </w:rPr>
      </w:pPr>
    </w:p>
    <w:p w14:paraId="40A8E17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Online submission of documents evidencing exposure instead of physical production of documents, subject to due diligence by AD Banks on the authenticity of underlying documents, is permitted. This would be applicable for the contracts booked between February 15, 2020 to April 15, 2020. AD Banks shall ensure that all documents are obtained once normalcy is restored.</w:t>
      </w:r>
    </w:p>
    <w:p w14:paraId="29DDF71C" w14:textId="77777777" w:rsidR="0060429F" w:rsidRPr="00C902C8" w:rsidRDefault="0060429F" w:rsidP="0060429F">
      <w:pPr>
        <w:spacing w:after="0" w:line="240" w:lineRule="auto"/>
        <w:jc w:val="both"/>
        <w:rPr>
          <w:rFonts w:ascii="Times New Roman" w:hAnsi="Times New Roman" w:cs="Times New Roman"/>
          <w:sz w:val="24"/>
          <w:szCs w:val="24"/>
        </w:rPr>
      </w:pPr>
    </w:p>
    <w:p w14:paraId="435DAA17"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 xml:space="preserve">2) </w:t>
      </w:r>
      <w:proofErr w:type="spellStart"/>
      <w:r w:rsidRPr="00C902C8">
        <w:rPr>
          <w:rFonts w:ascii="Times New Roman" w:hAnsi="Times New Roman" w:cs="Times New Roman"/>
          <w:b/>
          <w:bCs/>
          <w:sz w:val="24"/>
          <w:szCs w:val="24"/>
        </w:rPr>
        <w:t>FEDAI</w:t>
      </w:r>
      <w:proofErr w:type="spellEnd"/>
      <w:r w:rsidRPr="00C902C8">
        <w:rPr>
          <w:rFonts w:ascii="Times New Roman" w:hAnsi="Times New Roman" w:cs="Times New Roman"/>
          <w:b/>
          <w:bCs/>
          <w:sz w:val="24"/>
          <w:szCs w:val="24"/>
        </w:rPr>
        <w:t xml:space="preserve"> Rules</w:t>
      </w:r>
      <w:r w:rsidRPr="00C902C8">
        <w:rPr>
          <w:rFonts w:ascii="Times New Roman" w:hAnsi="Times New Roman" w:cs="Times New Roman"/>
          <w:sz w:val="24"/>
          <w:szCs w:val="24"/>
        </w:rPr>
        <w:t xml:space="preserve"> - Presently </w:t>
      </w:r>
      <w:proofErr w:type="spellStart"/>
      <w:r w:rsidRPr="00C902C8">
        <w:rPr>
          <w:rFonts w:ascii="Times New Roman" w:hAnsi="Times New Roman" w:cs="Times New Roman"/>
          <w:sz w:val="24"/>
          <w:szCs w:val="24"/>
        </w:rPr>
        <w:t>FEDAI</w:t>
      </w:r>
      <w:proofErr w:type="spellEnd"/>
      <w:r w:rsidRPr="00C902C8">
        <w:rPr>
          <w:rFonts w:ascii="Times New Roman" w:hAnsi="Times New Roman" w:cs="Times New Roman"/>
          <w:sz w:val="24"/>
          <w:szCs w:val="24"/>
        </w:rPr>
        <w:t xml:space="preserve"> Rule No. 6.4 (iv) requires that if a customer desires to cancel the contract he must advise the bank accordingly before or latest on the date of maturity of the contract. If there are no instructions from the customer, banks shall cancel the overdue contract within 3 working days after the maturity date. However, when a contract is cancelled after the maturity date, the customer shall not be entitled to the exchange difference, if any, in his favour, since the contract is cancelled on account of his default. He shall, however, be liable to pay the exchange difference, against him.</w:t>
      </w:r>
    </w:p>
    <w:p w14:paraId="7B5301AE" w14:textId="77777777" w:rsidR="0060429F" w:rsidRPr="00C902C8" w:rsidRDefault="0060429F" w:rsidP="0060429F">
      <w:pPr>
        <w:spacing w:after="0" w:line="240" w:lineRule="auto"/>
        <w:jc w:val="both"/>
        <w:rPr>
          <w:rFonts w:ascii="Times New Roman" w:hAnsi="Times New Roman" w:cs="Times New Roman"/>
          <w:sz w:val="24"/>
          <w:szCs w:val="24"/>
        </w:rPr>
      </w:pPr>
    </w:p>
    <w:p w14:paraId="3A745B6F"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Relaxation–</w:t>
      </w:r>
      <w:r w:rsidRPr="00C902C8">
        <w:rPr>
          <w:rFonts w:ascii="Times New Roman" w:hAnsi="Times New Roman" w:cs="Times New Roman"/>
          <w:sz w:val="24"/>
          <w:szCs w:val="24"/>
        </w:rPr>
        <w:t xml:space="preserve">The </w:t>
      </w:r>
      <w:proofErr w:type="spellStart"/>
      <w:r w:rsidRPr="00C902C8">
        <w:rPr>
          <w:rFonts w:ascii="Times New Roman" w:hAnsi="Times New Roman" w:cs="Times New Roman"/>
          <w:sz w:val="24"/>
          <w:szCs w:val="24"/>
        </w:rPr>
        <w:t>FEDAI</w:t>
      </w:r>
      <w:proofErr w:type="spellEnd"/>
      <w:r w:rsidRPr="00C902C8">
        <w:rPr>
          <w:rFonts w:ascii="Times New Roman" w:hAnsi="Times New Roman" w:cs="Times New Roman"/>
          <w:sz w:val="24"/>
          <w:szCs w:val="24"/>
        </w:rPr>
        <w:t xml:space="preserve"> Rule No. 6.4 (iv) is being put in abeyance, AD Banks may permit the corporate to take delivery of the overdue contract or cancel the contract and pass the gains if any, during the period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3 days post maturity). This relaxation would be applicable to all the live contracts (as on date) and the prospective contracts maturing till April 15,2020. </w:t>
      </w:r>
    </w:p>
    <w:p w14:paraId="1CE48878" w14:textId="77777777" w:rsidR="0060429F" w:rsidRPr="00C902C8" w:rsidRDefault="0060429F" w:rsidP="0060429F">
      <w:pPr>
        <w:spacing w:after="0" w:line="240" w:lineRule="auto"/>
        <w:jc w:val="both"/>
        <w:rPr>
          <w:rFonts w:ascii="Times New Roman" w:hAnsi="Times New Roman" w:cs="Times New Roman"/>
          <w:sz w:val="24"/>
          <w:szCs w:val="24"/>
        </w:rPr>
      </w:pPr>
    </w:p>
    <w:p w14:paraId="06542097"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3)Submission of Documents</w:t>
      </w:r>
      <w:r w:rsidRPr="00C902C8">
        <w:rPr>
          <w:rFonts w:ascii="Times New Roman" w:hAnsi="Times New Roman" w:cs="Times New Roman"/>
          <w:sz w:val="24"/>
          <w:szCs w:val="24"/>
        </w:rPr>
        <w:t xml:space="preserve"> -Submission of all monthly/ quarterly returns related to forex hedging is also being kept in abeyance till April 30, 2020 and the same may be submitted with delay thereafter.</w:t>
      </w:r>
    </w:p>
    <w:p w14:paraId="6472EEC9" w14:textId="77777777" w:rsidR="0060429F" w:rsidRPr="00C902C8" w:rsidRDefault="0060429F" w:rsidP="0060429F">
      <w:pPr>
        <w:spacing w:after="0" w:line="240" w:lineRule="auto"/>
        <w:jc w:val="both"/>
        <w:rPr>
          <w:rFonts w:ascii="Times New Roman" w:hAnsi="Times New Roman" w:cs="Times New Roman"/>
          <w:sz w:val="24"/>
          <w:szCs w:val="24"/>
        </w:rPr>
      </w:pPr>
    </w:p>
    <w:p w14:paraId="283F7C1F" w14:textId="77777777" w:rsidR="0060429F" w:rsidRPr="00C902C8"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sz w:val="24"/>
          <w:szCs w:val="24"/>
        </w:rPr>
        <w:t>Member banks are requested to take note of the same.</w:t>
      </w:r>
      <w:r w:rsidRPr="00C902C8">
        <w:rPr>
          <w:rFonts w:ascii="Times New Roman" w:hAnsi="Times New Roman" w:cs="Times New Roman"/>
          <w:b/>
          <w:bCs/>
          <w:sz w:val="24"/>
          <w:szCs w:val="24"/>
        </w:rPr>
        <w:t xml:space="preserve"> </w:t>
      </w:r>
    </w:p>
    <w:p w14:paraId="268988B4" w14:textId="77777777" w:rsidR="0060429F" w:rsidRPr="00C902C8" w:rsidRDefault="0060429F" w:rsidP="0060429F">
      <w:pPr>
        <w:pBdr>
          <w:bottom w:val="single" w:sz="12" w:space="1" w:color="auto"/>
        </w:pBdr>
        <w:spacing w:after="0" w:line="240" w:lineRule="auto"/>
        <w:jc w:val="both"/>
        <w:rPr>
          <w:rFonts w:ascii="Times New Roman" w:hAnsi="Times New Roman" w:cs="Times New Roman"/>
          <w:b/>
          <w:bCs/>
          <w:sz w:val="24"/>
          <w:szCs w:val="24"/>
        </w:rPr>
      </w:pPr>
    </w:p>
    <w:p w14:paraId="054E3A42" w14:textId="77777777" w:rsidR="0060429F" w:rsidRPr="00C902C8" w:rsidRDefault="0060429F" w:rsidP="0060429F">
      <w:pPr>
        <w:spacing w:after="0" w:line="240" w:lineRule="auto"/>
        <w:jc w:val="both"/>
        <w:rPr>
          <w:rFonts w:ascii="Times New Roman" w:hAnsi="Times New Roman" w:cs="Times New Roman"/>
          <w:b/>
          <w:bCs/>
          <w:sz w:val="24"/>
          <w:szCs w:val="24"/>
        </w:rPr>
      </w:pPr>
    </w:p>
    <w:p w14:paraId="251DB9CA" w14:textId="77777777" w:rsidR="0060429F" w:rsidRPr="00C902C8" w:rsidRDefault="0060429F" w:rsidP="0060429F">
      <w:pPr>
        <w:spacing w:after="0" w:line="240" w:lineRule="auto"/>
        <w:jc w:val="both"/>
        <w:rPr>
          <w:rFonts w:ascii="Times New Roman" w:hAnsi="Times New Roman" w:cs="Times New Roman"/>
          <w:b/>
          <w:bCs/>
          <w:sz w:val="24"/>
          <w:szCs w:val="24"/>
        </w:rPr>
      </w:pPr>
    </w:p>
    <w:p w14:paraId="4BEAAB15" w14:textId="77777777" w:rsidR="0060429F" w:rsidRPr="00C902C8"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SPL-09/</w:t>
      </w:r>
      <w:proofErr w:type="spellStart"/>
      <w:r w:rsidRPr="00C902C8">
        <w:rPr>
          <w:rFonts w:ascii="Times New Roman" w:hAnsi="Times New Roman" w:cs="Times New Roman"/>
          <w:b/>
          <w:bCs/>
          <w:sz w:val="24"/>
          <w:szCs w:val="24"/>
        </w:rPr>
        <w:t>COVID19</w:t>
      </w:r>
      <w:proofErr w:type="spellEnd"/>
      <w:r w:rsidRPr="00C902C8">
        <w:rPr>
          <w:rFonts w:ascii="Times New Roman" w:hAnsi="Times New Roman" w:cs="Times New Roman"/>
          <w:b/>
          <w:bCs/>
          <w:sz w:val="24"/>
          <w:szCs w:val="24"/>
        </w:rPr>
        <w:t xml:space="preserve"> Relaxations/2020</w:t>
      </w:r>
    </w:p>
    <w:p w14:paraId="04B22969" w14:textId="77777777" w:rsidR="0060429F" w:rsidRPr="00C902C8" w:rsidRDefault="0060429F" w:rsidP="0060429F">
      <w:pPr>
        <w:spacing w:after="0" w:line="240" w:lineRule="auto"/>
        <w:ind w:left="6480" w:firstLine="720"/>
        <w:jc w:val="both"/>
        <w:rPr>
          <w:rFonts w:ascii="Times New Roman" w:hAnsi="Times New Roman" w:cs="Times New Roman"/>
          <w:sz w:val="24"/>
          <w:szCs w:val="24"/>
        </w:rPr>
      </w:pPr>
      <w:r w:rsidRPr="00C902C8">
        <w:rPr>
          <w:rFonts w:ascii="Times New Roman" w:hAnsi="Times New Roman" w:cs="Times New Roman"/>
          <w:sz w:val="24"/>
          <w:szCs w:val="24"/>
        </w:rPr>
        <w:t>11th June 2020</w:t>
      </w:r>
    </w:p>
    <w:p w14:paraId="41EB606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7DDD7520"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Member Banks</w:t>
      </w:r>
    </w:p>
    <w:p w14:paraId="33E3518D" w14:textId="77777777" w:rsidR="0060429F" w:rsidRPr="00C902C8" w:rsidRDefault="0060429F" w:rsidP="0060429F">
      <w:pPr>
        <w:spacing w:after="0" w:line="240" w:lineRule="auto"/>
        <w:jc w:val="both"/>
        <w:rPr>
          <w:rFonts w:ascii="Times New Roman" w:hAnsi="Times New Roman" w:cs="Times New Roman"/>
          <w:b/>
          <w:bCs/>
          <w:sz w:val="24"/>
          <w:szCs w:val="24"/>
        </w:rPr>
      </w:pPr>
    </w:p>
    <w:p w14:paraId="32BC4AB1" w14:textId="77777777" w:rsidR="0060429F" w:rsidRPr="00C902C8"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Novel Coronavirus COVID-19 – Temporary Relaxations in forex regulations – Extension</w:t>
      </w:r>
    </w:p>
    <w:p w14:paraId="7C8A322D" w14:textId="77777777" w:rsidR="0060429F" w:rsidRPr="00C902C8" w:rsidRDefault="0060429F" w:rsidP="0060429F">
      <w:pPr>
        <w:spacing w:after="0" w:line="240" w:lineRule="auto"/>
        <w:jc w:val="both"/>
        <w:rPr>
          <w:rFonts w:ascii="Times New Roman" w:hAnsi="Times New Roman" w:cs="Times New Roman"/>
          <w:b/>
          <w:bCs/>
          <w:sz w:val="24"/>
          <w:szCs w:val="24"/>
        </w:rPr>
      </w:pPr>
    </w:p>
    <w:p w14:paraId="5CB3EC4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Dear Sir/ Madam,</w:t>
      </w:r>
    </w:p>
    <w:p w14:paraId="7D7CF480" w14:textId="77777777" w:rsidR="0060429F" w:rsidRPr="00C902C8" w:rsidRDefault="0060429F" w:rsidP="0060429F">
      <w:pPr>
        <w:spacing w:after="0" w:line="240" w:lineRule="auto"/>
        <w:jc w:val="both"/>
        <w:rPr>
          <w:rFonts w:ascii="Times New Roman" w:hAnsi="Times New Roman" w:cs="Times New Roman"/>
          <w:sz w:val="24"/>
          <w:szCs w:val="24"/>
        </w:rPr>
      </w:pPr>
    </w:p>
    <w:p w14:paraId="3DBCCAF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We request reference to our Special Circulars </w:t>
      </w:r>
      <w:proofErr w:type="spellStart"/>
      <w:r w:rsidRPr="00C902C8">
        <w:rPr>
          <w:rFonts w:ascii="Times New Roman" w:hAnsi="Times New Roman" w:cs="Times New Roman"/>
          <w:sz w:val="24"/>
          <w:szCs w:val="24"/>
        </w:rPr>
        <w:t>No.SPL</w:t>
      </w:r>
      <w:proofErr w:type="spellEnd"/>
      <w:r w:rsidRPr="00C902C8">
        <w:rPr>
          <w:rFonts w:ascii="Times New Roman" w:hAnsi="Times New Roman" w:cs="Times New Roman"/>
          <w:sz w:val="24"/>
          <w:szCs w:val="24"/>
        </w:rPr>
        <w:t>-02/BV/2020 dated 19th March 2020,</w:t>
      </w:r>
    </w:p>
    <w:p w14:paraId="0EC40263" w14:textId="77777777" w:rsidR="0060429F" w:rsidRPr="00C902C8" w:rsidRDefault="0060429F" w:rsidP="0060429F">
      <w:p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No.SPL</w:t>
      </w:r>
      <w:proofErr w:type="spellEnd"/>
      <w:r w:rsidRPr="00C902C8">
        <w:rPr>
          <w:rFonts w:ascii="Times New Roman" w:hAnsi="Times New Roman" w:cs="Times New Roman"/>
          <w:sz w:val="24"/>
          <w:szCs w:val="24"/>
        </w:rPr>
        <w:t>-04/</w:t>
      </w:r>
      <w:proofErr w:type="spellStart"/>
      <w:r w:rsidRPr="00C902C8">
        <w:rPr>
          <w:rFonts w:ascii="Times New Roman" w:hAnsi="Times New Roman" w:cs="Times New Roman"/>
          <w:sz w:val="24"/>
          <w:szCs w:val="24"/>
        </w:rPr>
        <w:t>COVID19</w:t>
      </w:r>
      <w:proofErr w:type="spellEnd"/>
      <w:r w:rsidRPr="00C902C8">
        <w:rPr>
          <w:rFonts w:ascii="Times New Roman" w:hAnsi="Times New Roman" w:cs="Times New Roman"/>
          <w:sz w:val="24"/>
          <w:szCs w:val="24"/>
        </w:rPr>
        <w:t xml:space="preserve"> Relaxations/2020 dated 15th April 2020 and SPL-08/</w:t>
      </w:r>
      <w:proofErr w:type="spellStart"/>
      <w:r w:rsidRPr="00C902C8">
        <w:rPr>
          <w:rFonts w:ascii="Times New Roman" w:hAnsi="Times New Roman" w:cs="Times New Roman"/>
          <w:sz w:val="24"/>
          <w:szCs w:val="24"/>
        </w:rPr>
        <w:t>COVID19</w:t>
      </w:r>
      <w:proofErr w:type="spellEnd"/>
    </w:p>
    <w:p w14:paraId="109C4578"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Relaxations/2020 dated 19th May 2020.</w:t>
      </w:r>
    </w:p>
    <w:p w14:paraId="5621B43B" w14:textId="77777777" w:rsidR="0060429F" w:rsidRPr="00C902C8" w:rsidRDefault="0060429F" w:rsidP="0060429F">
      <w:pPr>
        <w:spacing w:after="0" w:line="240" w:lineRule="auto"/>
        <w:jc w:val="both"/>
        <w:rPr>
          <w:rFonts w:ascii="Times New Roman" w:hAnsi="Times New Roman" w:cs="Times New Roman"/>
          <w:sz w:val="24"/>
          <w:szCs w:val="24"/>
        </w:rPr>
      </w:pPr>
    </w:p>
    <w:p w14:paraId="660C18A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the light of opening up of economy in phased manner starting with Unlock 1.0, the situation was reviewed and it has been decided to continue the relaxations, with some modifications, for the period starting from 1st June 2020 to 30th June 2020.</w:t>
      </w:r>
    </w:p>
    <w:p w14:paraId="791A4A47" w14:textId="77777777" w:rsidR="0060429F" w:rsidRPr="00C902C8" w:rsidRDefault="0060429F" w:rsidP="0060429F">
      <w:pPr>
        <w:spacing w:after="0" w:line="240" w:lineRule="auto"/>
        <w:jc w:val="both"/>
        <w:rPr>
          <w:rFonts w:ascii="Times New Roman" w:hAnsi="Times New Roman" w:cs="Times New Roman"/>
          <w:sz w:val="24"/>
          <w:szCs w:val="24"/>
        </w:rPr>
      </w:pPr>
    </w:p>
    <w:p w14:paraId="00A08BEB" w14:textId="77777777" w:rsidR="0060429F" w:rsidRPr="00C902C8"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1) Submission of underlying documents</w:t>
      </w:r>
    </w:p>
    <w:p w14:paraId="2A246F3E" w14:textId="77777777" w:rsidR="0060429F" w:rsidRPr="00C902C8"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Relaxation –</w:t>
      </w:r>
    </w:p>
    <w:p w14:paraId="52CC7231"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Considering the difficulties faced by corporates AD Banks may allow time of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30 days or</w:t>
      </w:r>
    </w:p>
    <w:p w14:paraId="0845B0E3"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date of maturity of contract whichever is earlier, for physical production of underlying</w:t>
      </w:r>
    </w:p>
    <w:p w14:paraId="749F9F9F"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documents by corporates.</w:t>
      </w:r>
    </w:p>
    <w:p w14:paraId="2ABB8894" w14:textId="77777777" w:rsidR="0060429F" w:rsidRPr="00C902C8" w:rsidRDefault="0060429F" w:rsidP="0060429F">
      <w:pPr>
        <w:spacing w:after="0" w:line="240" w:lineRule="auto"/>
        <w:jc w:val="both"/>
        <w:rPr>
          <w:rFonts w:ascii="Times New Roman" w:hAnsi="Times New Roman" w:cs="Times New Roman"/>
          <w:sz w:val="24"/>
          <w:szCs w:val="24"/>
        </w:rPr>
      </w:pPr>
    </w:p>
    <w:p w14:paraId="77736C4E"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AD Banks should ensure online submission of documents within 15 days of booking of the</w:t>
      </w:r>
    </w:p>
    <w:p w14:paraId="220EE4A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contract.</w:t>
      </w:r>
    </w:p>
    <w:p w14:paraId="30676989" w14:textId="77777777" w:rsidR="0060429F" w:rsidRPr="00C902C8" w:rsidRDefault="0060429F" w:rsidP="0060429F">
      <w:pPr>
        <w:spacing w:after="0" w:line="240" w:lineRule="auto"/>
        <w:jc w:val="both"/>
        <w:rPr>
          <w:rFonts w:ascii="Times New Roman" w:hAnsi="Times New Roman" w:cs="Times New Roman"/>
          <w:sz w:val="24"/>
          <w:szCs w:val="24"/>
        </w:rPr>
      </w:pPr>
    </w:p>
    <w:p w14:paraId="0A487873" w14:textId="77777777" w:rsidR="0060429F" w:rsidRPr="00C902C8"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2) </w:t>
      </w:r>
      <w:proofErr w:type="spellStart"/>
      <w:r w:rsidRPr="00C902C8">
        <w:rPr>
          <w:rFonts w:ascii="Times New Roman" w:hAnsi="Times New Roman" w:cs="Times New Roman"/>
          <w:b/>
          <w:bCs/>
          <w:sz w:val="24"/>
          <w:szCs w:val="24"/>
        </w:rPr>
        <w:t>FEDAI</w:t>
      </w:r>
      <w:proofErr w:type="spellEnd"/>
      <w:r w:rsidRPr="00C902C8">
        <w:rPr>
          <w:rFonts w:ascii="Times New Roman" w:hAnsi="Times New Roman" w:cs="Times New Roman"/>
          <w:b/>
          <w:bCs/>
          <w:sz w:val="24"/>
          <w:szCs w:val="24"/>
        </w:rPr>
        <w:t xml:space="preserve"> Rule </w:t>
      </w:r>
      <w:proofErr w:type="spellStart"/>
      <w:r w:rsidRPr="00C902C8">
        <w:rPr>
          <w:rFonts w:ascii="Times New Roman" w:hAnsi="Times New Roman" w:cs="Times New Roman"/>
          <w:b/>
          <w:bCs/>
          <w:sz w:val="24"/>
          <w:szCs w:val="24"/>
        </w:rPr>
        <w:t>No.6.4</w:t>
      </w:r>
      <w:proofErr w:type="spellEnd"/>
      <w:r w:rsidRPr="00C902C8">
        <w:rPr>
          <w:rFonts w:ascii="Times New Roman" w:hAnsi="Times New Roman" w:cs="Times New Roman"/>
          <w:b/>
          <w:bCs/>
          <w:sz w:val="24"/>
          <w:szCs w:val="24"/>
        </w:rPr>
        <w:t xml:space="preserve"> (iv)</w:t>
      </w:r>
    </w:p>
    <w:p w14:paraId="194198CA" w14:textId="77777777" w:rsidR="0060429F" w:rsidRPr="00C902C8" w:rsidRDefault="0060429F" w:rsidP="0060429F">
      <w:pPr>
        <w:spacing w:after="0" w:line="240" w:lineRule="auto"/>
        <w:jc w:val="both"/>
        <w:rPr>
          <w:rFonts w:ascii="Times New Roman" w:hAnsi="Times New Roman" w:cs="Times New Roman"/>
          <w:b/>
          <w:bCs/>
          <w:sz w:val="24"/>
          <w:szCs w:val="24"/>
        </w:rPr>
      </w:pPr>
    </w:p>
    <w:p w14:paraId="048F3C07"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 xml:space="preserve">Relaxation </w:t>
      </w:r>
      <w:r w:rsidRPr="00C902C8">
        <w:rPr>
          <w:rFonts w:ascii="Times New Roman" w:hAnsi="Times New Roman" w:cs="Times New Roman"/>
          <w:sz w:val="24"/>
          <w:szCs w:val="24"/>
        </w:rPr>
        <w:t xml:space="preserve">–The </w:t>
      </w:r>
      <w:proofErr w:type="spellStart"/>
      <w:r w:rsidRPr="00C902C8">
        <w:rPr>
          <w:rFonts w:ascii="Times New Roman" w:hAnsi="Times New Roman" w:cs="Times New Roman"/>
          <w:sz w:val="24"/>
          <w:szCs w:val="24"/>
        </w:rPr>
        <w:t>FEDAI</w:t>
      </w:r>
      <w:proofErr w:type="spellEnd"/>
      <w:r w:rsidRPr="00C902C8">
        <w:rPr>
          <w:rFonts w:ascii="Times New Roman" w:hAnsi="Times New Roman" w:cs="Times New Roman"/>
          <w:sz w:val="24"/>
          <w:szCs w:val="24"/>
        </w:rPr>
        <w:t xml:space="preserve"> Rule No. 6.4 (iv) is being put in abeyance, AD Banks may permit the</w:t>
      </w:r>
    </w:p>
    <w:p w14:paraId="05FE865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corporate to take delivery of the overdue contract or cancel the contract and pass the gains if</w:t>
      </w:r>
    </w:p>
    <w:p w14:paraId="1073F75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during the period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3 days post maturity as per banks internal policy).</w:t>
      </w:r>
    </w:p>
    <w:p w14:paraId="4BE3BE1C" w14:textId="77777777" w:rsidR="0060429F" w:rsidRPr="00C902C8" w:rsidRDefault="0060429F" w:rsidP="0060429F">
      <w:pPr>
        <w:spacing w:after="0" w:line="240" w:lineRule="auto"/>
        <w:jc w:val="both"/>
        <w:rPr>
          <w:rFonts w:ascii="Times New Roman" w:hAnsi="Times New Roman" w:cs="Times New Roman"/>
          <w:sz w:val="24"/>
          <w:szCs w:val="24"/>
        </w:rPr>
      </w:pPr>
    </w:p>
    <w:p w14:paraId="7B011049"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are advised to be cautious while extending these relaxations. All attempts should be made to restrict extending these relaxations in areas/to clients where lockdown restrictions have been relaxed/normalcy is getting restored.</w:t>
      </w:r>
    </w:p>
    <w:p w14:paraId="72DAB1BC" w14:textId="77777777" w:rsidR="0060429F" w:rsidRPr="00C902C8" w:rsidRDefault="0060429F" w:rsidP="0060429F">
      <w:pPr>
        <w:spacing w:after="0" w:line="240" w:lineRule="auto"/>
        <w:jc w:val="both"/>
        <w:rPr>
          <w:rFonts w:ascii="Times New Roman" w:hAnsi="Times New Roman" w:cs="Times New Roman"/>
          <w:sz w:val="24"/>
          <w:szCs w:val="24"/>
        </w:rPr>
      </w:pPr>
    </w:p>
    <w:p w14:paraId="5A29286C" w14:textId="20DC4FEF"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Member banks are requested to be guided accordingly</w:t>
      </w:r>
      <w:bookmarkEnd w:id="0"/>
    </w:p>
    <w:sectPr w:rsidR="0060429F" w:rsidRPr="00C902C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0F2C4" w14:textId="77777777" w:rsidR="00F25171" w:rsidRDefault="00F25171" w:rsidP="00064158">
      <w:pPr>
        <w:spacing w:after="0" w:line="240" w:lineRule="auto"/>
      </w:pPr>
      <w:r>
        <w:separator/>
      </w:r>
    </w:p>
  </w:endnote>
  <w:endnote w:type="continuationSeparator" w:id="0">
    <w:p w14:paraId="6A44B01B" w14:textId="77777777" w:rsidR="00F25171" w:rsidRDefault="00F25171" w:rsidP="0006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401276"/>
      <w:docPartObj>
        <w:docPartGallery w:val="Page Numbers (Bottom of Page)"/>
        <w:docPartUnique/>
      </w:docPartObj>
    </w:sdtPr>
    <w:sdtEndPr>
      <w:rPr>
        <w:noProof/>
      </w:rPr>
    </w:sdtEndPr>
    <w:sdtContent>
      <w:p w14:paraId="1F1681E7" w14:textId="461DEBA8" w:rsidR="00E112B6" w:rsidRDefault="00E112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DF365" w14:textId="77777777" w:rsidR="00E112B6" w:rsidRDefault="00E1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533DA" w14:textId="77777777" w:rsidR="00F25171" w:rsidRDefault="00F25171" w:rsidP="00064158">
      <w:pPr>
        <w:spacing w:after="0" w:line="240" w:lineRule="auto"/>
      </w:pPr>
      <w:r>
        <w:separator/>
      </w:r>
    </w:p>
  </w:footnote>
  <w:footnote w:type="continuationSeparator" w:id="0">
    <w:p w14:paraId="434363A7" w14:textId="77777777" w:rsidR="00F25171" w:rsidRDefault="00F25171" w:rsidP="0006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1463"/>
    <w:multiLevelType w:val="hybridMultilevel"/>
    <w:tmpl w:val="C06CA4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B7DE9"/>
    <w:multiLevelType w:val="hybridMultilevel"/>
    <w:tmpl w:val="555619A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6937CB"/>
    <w:multiLevelType w:val="hybridMultilevel"/>
    <w:tmpl w:val="5DD638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0E66A4"/>
    <w:multiLevelType w:val="hybridMultilevel"/>
    <w:tmpl w:val="C1E4C0BC"/>
    <w:lvl w:ilvl="0" w:tplc="8B9A29BA">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8D0F4F4">
      <w:start w:val="1"/>
      <w:numFmt w:val="lowerLetter"/>
      <w:lvlText w:val="(%2)"/>
      <w:lvlJc w:val="left"/>
      <w:pPr>
        <w:ind w:left="12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E266D1A">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CDA72BC">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19A7800">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8C0CF90">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1FC81D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FECD25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D5EB1C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3D954F5"/>
    <w:multiLevelType w:val="hybridMultilevel"/>
    <w:tmpl w:val="00503F1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49E5BBF"/>
    <w:multiLevelType w:val="hybridMultilevel"/>
    <w:tmpl w:val="FB4645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6B16BD1"/>
    <w:multiLevelType w:val="hybridMultilevel"/>
    <w:tmpl w:val="EB6AD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7962D95"/>
    <w:multiLevelType w:val="hybridMultilevel"/>
    <w:tmpl w:val="DA963E52"/>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EA49A5"/>
    <w:multiLevelType w:val="hybridMultilevel"/>
    <w:tmpl w:val="E5B873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8997765"/>
    <w:multiLevelType w:val="hybridMultilevel"/>
    <w:tmpl w:val="C1AEBC7A"/>
    <w:lvl w:ilvl="0" w:tplc="40090019">
      <w:start w:val="1"/>
      <w:numFmt w:val="lowerLetter"/>
      <w:lvlText w:val="%1."/>
      <w:lvlJc w:val="left"/>
      <w:pPr>
        <w:ind w:left="720" w:hanging="360"/>
      </w:pPr>
    </w:lvl>
    <w:lvl w:ilvl="1" w:tplc="2F08C696">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9CD29F4"/>
    <w:multiLevelType w:val="hybridMultilevel"/>
    <w:tmpl w:val="821E3F3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871A94"/>
    <w:multiLevelType w:val="hybridMultilevel"/>
    <w:tmpl w:val="934406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BE32A15"/>
    <w:multiLevelType w:val="hybridMultilevel"/>
    <w:tmpl w:val="498E48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BE32AB6"/>
    <w:multiLevelType w:val="hybridMultilevel"/>
    <w:tmpl w:val="A7BC46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D0D5F75"/>
    <w:multiLevelType w:val="hybridMultilevel"/>
    <w:tmpl w:val="CEAAFE6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DBE6E41"/>
    <w:multiLevelType w:val="hybridMultilevel"/>
    <w:tmpl w:val="E08AA3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DF53165"/>
    <w:multiLevelType w:val="hybridMultilevel"/>
    <w:tmpl w:val="4D005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EB30D4D"/>
    <w:multiLevelType w:val="hybridMultilevel"/>
    <w:tmpl w:val="C5A260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F445043"/>
    <w:multiLevelType w:val="hybridMultilevel"/>
    <w:tmpl w:val="DFF8E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9437F8"/>
    <w:multiLevelType w:val="hybridMultilevel"/>
    <w:tmpl w:val="EDEE86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2A20210"/>
    <w:multiLevelType w:val="hybridMultilevel"/>
    <w:tmpl w:val="99D4D1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3F66B1D"/>
    <w:multiLevelType w:val="hybridMultilevel"/>
    <w:tmpl w:val="FCC6BB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648708F"/>
    <w:multiLevelType w:val="hybridMultilevel"/>
    <w:tmpl w:val="ED74FE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6770D80"/>
    <w:multiLevelType w:val="hybridMultilevel"/>
    <w:tmpl w:val="358218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6A205F8"/>
    <w:multiLevelType w:val="hybridMultilevel"/>
    <w:tmpl w:val="4A7E455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78D379D"/>
    <w:multiLevelType w:val="hybridMultilevel"/>
    <w:tmpl w:val="8488B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86E5AAA"/>
    <w:multiLevelType w:val="hybridMultilevel"/>
    <w:tmpl w:val="C7B4B6E0"/>
    <w:lvl w:ilvl="0" w:tplc="1D6C3BEE">
      <w:start w:val="12"/>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9D6A66BA">
      <w:start w:val="1"/>
      <w:numFmt w:val="lowerLetter"/>
      <w:lvlText w:val="%2"/>
      <w:lvlJc w:val="left"/>
      <w:pPr>
        <w:ind w:left="27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84B0D0FC">
      <w:start w:val="1"/>
      <w:numFmt w:val="lowerRoman"/>
      <w:lvlText w:val="%3"/>
      <w:lvlJc w:val="left"/>
      <w:pPr>
        <w:ind w:left="34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DE920EC4">
      <w:start w:val="1"/>
      <w:numFmt w:val="decimal"/>
      <w:lvlText w:val="%4"/>
      <w:lvlJc w:val="left"/>
      <w:pPr>
        <w:ind w:left="4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CE66C82C">
      <w:start w:val="1"/>
      <w:numFmt w:val="lowerLetter"/>
      <w:lvlText w:val="%5"/>
      <w:lvlJc w:val="left"/>
      <w:pPr>
        <w:ind w:left="49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B7A27750">
      <w:start w:val="1"/>
      <w:numFmt w:val="lowerRoman"/>
      <w:lvlText w:val="%6"/>
      <w:lvlJc w:val="left"/>
      <w:pPr>
        <w:ind w:left="56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D95659D8">
      <w:start w:val="1"/>
      <w:numFmt w:val="decimal"/>
      <w:lvlText w:val="%7"/>
      <w:lvlJc w:val="left"/>
      <w:pPr>
        <w:ind w:left="63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0F3A6930">
      <w:start w:val="1"/>
      <w:numFmt w:val="lowerLetter"/>
      <w:lvlText w:val="%8"/>
      <w:lvlJc w:val="left"/>
      <w:pPr>
        <w:ind w:left="70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D7880DA2">
      <w:start w:val="1"/>
      <w:numFmt w:val="lowerRoman"/>
      <w:lvlText w:val="%9"/>
      <w:lvlJc w:val="left"/>
      <w:pPr>
        <w:ind w:left="78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18DD166E"/>
    <w:multiLevelType w:val="hybridMultilevel"/>
    <w:tmpl w:val="BB02B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CA064A"/>
    <w:multiLevelType w:val="hybridMultilevel"/>
    <w:tmpl w:val="020CE8E6"/>
    <w:lvl w:ilvl="0" w:tplc="4009001B">
      <w:start w:val="1"/>
      <w:numFmt w:val="lowerRoman"/>
      <w:lvlText w:val="%1."/>
      <w:lvlJc w:val="right"/>
      <w:pPr>
        <w:ind w:left="720" w:hanging="360"/>
      </w:pPr>
      <w:rPr>
        <w:rFonts w:hint="default"/>
      </w:rPr>
    </w:lvl>
    <w:lvl w:ilvl="1" w:tplc="4822BEE6">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BAB196B"/>
    <w:multiLevelType w:val="hybridMultilevel"/>
    <w:tmpl w:val="C8200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C122341"/>
    <w:multiLevelType w:val="hybridMultilevel"/>
    <w:tmpl w:val="45F053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E851064"/>
    <w:multiLevelType w:val="hybridMultilevel"/>
    <w:tmpl w:val="F1B8C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F76236F"/>
    <w:multiLevelType w:val="hybridMultilevel"/>
    <w:tmpl w:val="3C1C758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0FB0572"/>
    <w:multiLevelType w:val="hybridMultilevel"/>
    <w:tmpl w:val="3EA49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2A3016E"/>
    <w:multiLevelType w:val="hybridMultilevel"/>
    <w:tmpl w:val="161473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2C8799C"/>
    <w:multiLevelType w:val="hybridMultilevel"/>
    <w:tmpl w:val="4C52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3900BA3"/>
    <w:multiLevelType w:val="hybridMultilevel"/>
    <w:tmpl w:val="58E82B56"/>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4B9161E"/>
    <w:multiLevelType w:val="hybridMultilevel"/>
    <w:tmpl w:val="82FEE4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52C4A5F"/>
    <w:multiLevelType w:val="hybridMultilevel"/>
    <w:tmpl w:val="B9D4980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89B7101"/>
    <w:multiLevelType w:val="hybridMultilevel"/>
    <w:tmpl w:val="28965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94874FE"/>
    <w:multiLevelType w:val="hybridMultilevel"/>
    <w:tmpl w:val="2D4AEF0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2A234D2C"/>
    <w:multiLevelType w:val="hybridMultilevel"/>
    <w:tmpl w:val="C18EDB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B046C64"/>
    <w:multiLevelType w:val="hybridMultilevel"/>
    <w:tmpl w:val="0CAEE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C3C3BBA"/>
    <w:multiLevelType w:val="hybridMultilevel"/>
    <w:tmpl w:val="22B292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D8927AE"/>
    <w:multiLevelType w:val="hybridMultilevel"/>
    <w:tmpl w:val="FA4E36D6"/>
    <w:lvl w:ilvl="0" w:tplc="11EAA388">
      <w:start w:val="2"/>
      <w:numFmt w:val="decimal"/>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2B1056DA">
      <w:start w:val="1"/>
      <w:numFmt w:val="lowerRoman"/>
      <w:lvlText w:val="(%2)"/>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1DE1DDC">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5CC4050">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B1E1C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88AEA3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C5CB31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A40B1A8">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D52BD98">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5" w15:restartNumberingAfterBreak="0">
    <w:nsid w:val="2E22115B"/>
    <w:multiLevelType w:val="hybridMultilevel"/>
    <w:tmpl w:val="06E288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EE65A26"/>
    <w:multiLevelType w:val="hybridMultilevel"/>
    <w:tmpl w:val="4ADC279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F910F78"/>
    <w:multiLevelType w:val="hybridMultilevel"/>
    <w:tmpl w:val="653C42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FD70228"/>
    <w:multiLevelType w:val="hybridMultilevel"/>
    <w:tmpl w:val="AB5C9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FF929D0"/>
    <w:multiLevelType w:val="hybridMultilevel"/>
    <w:tmpl w:val="7272D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0415C7E"/>
    <w:multiLevelType w:val="hybridMultilevel"/>
    <w:tmpl w:val="1362F1AA"/>
    <w:lvl w:ilvl="0" w:tplc="A6DCB8F8">
      <w:start w:val="2"/>
      <w:numFmt w:val="decimal"/>
      <w:lvlText w:val="(%1)"/>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6841366">
      <w:start w:val="1"/>
      <w:numFmt w:val="lowerRoman"/>
      <w:lvlText w:val="(%2)"/>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048E30">
      <w:start w:val="1"/>
      <w:numFmt w:val="lowerRoman"/>
      <w:lvlText w:val="(%3)"/>
      <w:lvlJc w:val="left"/>
      <w:pPr>
        <w:ind w:left="264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4082690">
      <w:start w:val="1"/>
      <w:numFmt w:val="decimal"/>
      <w:lvlText w:val="%4"/>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1344972">
      <w:start w:val="1"/>
      <w:numFmt w:val="lowerLetter"/>
      <w:lvlText w:val="%5"/>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0988EB8">
      <w:start w:val="1"/>
      <w:numFmt w:val="lowerRoman"/>
      <w:lvlText w:val="%6"/>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1C15E6">
      <w:start w:val="1"/>
      <w:numFmt w:val="decimal"/>
      <w:lvlText w:val="%7"/>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D12B6D8">
      <w:start w:val="1"/>
      <w:numFmt w:val="lowerLetter"/>
      <w:lvlText w:val="%8"/>
      <w:lvlJc w:val="left"/>
      <w:pPr>
        <w:ind w:left="7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834FEBA">
      <w:start w:val="1"/>
      <w:numFmt w:val="lowerRoman"/>
      <w:lvlText w:val="%9"/>
      <w:lvlJc w:val="left"/>
      <w:pPr>
        <w:ind w:left="7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30991248"/>
    <w:multiLevelType w:val="hybridMultilevel"/>
    <w:tmpl w:val="FA729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122128A"/>
    <w:multiLevelType w:val="hybridMultilevel"/>
    <w:tmpl w:val="CF7C42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16665CD"/>
    <w:multiLevelType w:val="hybridMultilevel"/>
    <w:tmpl w:val="CCFC6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33755649"/>
    <w:multiLevelType w:val="hybridMultilevel"/>
    <w:tmpl w:val="FB26640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3B90F05"/>
    <w:multiLevelType w:val="hybridMultilevel"/>
    <w:tmpl w:val="A902401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40D1DB6"/>
    <w:multiLevelType w:val="hybridMultilevel"/>
    <w:tmpl w:val="14A09E22"/>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491525A"/>
    <w:multiLevelType w:val="hybridMultilevel"/>
    <w:tmpl w:val="2FF42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34B83785"/>
    <w:multiLevelType w:val="hybridMultilevel"/>
    <w:tmpl w:val="53788A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4C51A88"/>
    <w:multiLevelType w:val="hybridMultilevel"/>
    <w:tmpl w:val="1E74BBFA"/>
    <w:lvl w:ilvl="0" w:tplc="E6AAA6AE">
      <w:start w:val="6"/>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0CE4D318">
      <w:start w:val="1"/>
      <w:numFmt w:val="lowerRoman"/>
      <w:lvlText w:val="(%2)"/>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00A981E">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088FCE2">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430F4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BFA458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4AE842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708FE8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E0843F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0" w15:restartNumberingAfterBreak="0">
    <w:nsid w:val="362A1CB0"/>
    <w:multiLevelType w:val="hybridMultilevel"/>
    <w:tmpl w:val="87DC8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75D291F"/>
    <w:multiLevelType w:val="hybridMultilevel"/>
    <w:tmpl w:val="AF6C36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84C72C8"/>
    <w:multiLevelType w:val="hybridMultilevel"/>
    <w:tmpl w:val="4184B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39F0708D"/>
    <w:multiLevelType w:val="hybridMultilevel"/>
    <w:tmpl w:val="32F67CF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A660FB6"/>
    <w:multiLevelType w:val="hybridMultilevel"/>
    <w:tmpl w:val="F3BE74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C107C83"/>
    <w:multiLevelType w:val="hybridMultilevel"/>
    <w:tmpl w:val="0F129C4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DCE43BA"/>
    <w:multiLevelType w:val="hybridMultilevel"/>
    <w:tmpl w:val="DF28B9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EB30D92"/>
    <w:multiLevelType w:val="hybridMultilevel"/>
    <w:tmpl w:val="B0DC81F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EFF0AF0"/>
    <w:multiLevelType w:val="hybridMultilevel"/>
    <w:tmpl w:val="92042F7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417E382C"/>
    <w:multiLevelType w:val="hybridMultilevel"/>
    <w:tmpl w:val="7FF677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1FE66F5"/>
    <w:multiLevelType w:val="hybridMultilevel"/>
    <w:tmpl w:val="1F50C9D8"/>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2D65A5C"/>
    <w:multiLevelType w:val="hybridMultilevel"/>
    <w:tmpl w:val="A32ECB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30E3742"/>
    <w:multiLevelType w:val="hybridMultilevel"/>
    <w:tmpl w:val="2432D4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3C10E76"/>
    <w:multiLevelType w:val="hybridMultilevel"/>
    <w:tmpl w:val="00BC71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46102479"/>
    <w:multiLevelType w:val="hybridMultilevel"/>
    <w:tmpl w:val="E3C6A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48523135"/>
    <w:multiLevelType w:val="hybridMultilevel"/>
    <w:tmpl w:val="1C8C6D5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B1B7E6D"/>
    <w:multiLevelType w:val="hybridMultilevel"/>
    <w:tmpl w:val="CABC0F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4D5908B0"/>
    <w:multiLevelType w:val="hybridMultilevel"/>
    <w:tmpl w:val="F2AEA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DAC0DAE"/>
    <w:multiLevelType w:val="hybridMultilevel"/>
    <w:tmpl w:val="05C0E3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E391A87"/>
    <w:multiLevelType w:val="hybridMultilevel"/>
    <w:tmpl w:val="A0C42486"/>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E8D3D76"/>
    <w:multiLevelType w:val="hybridMultilevel"/>
    <w:tmpl w:val="0B806FFA"/>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32E4CB2"/>
    <w:multiLevelType w:val="hybridMultilevel"/>
    <w:tmpl w:val="3C82B4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45C20CE"/>
    <w:multiLevelType w:val="hybridMultilevel"/>
    <w:tmpl w:val="85A0B6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6F24620"/>
    <w:multiLevelType w:val="hybridMultilevel"/>
    <w:tmpl w:val="FCBE9E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7CB55AC"/>
    <w:multiLevelType w:val="hybridMultilevel"/>
    <w:tmpl w:val="024A2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8EC1D34"/>
    <w:multiLevelType w:val="hybridMultilevel"/>
    <w:tmpl w:val="276EF35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5B3007E7"/>
    <w:multiLevelType w:val="hybridMultilevel"/>
    <w:tmpl w:val="8DE046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B3C5F8B"/>
    <w:multiLevelType w:val="hybridMultilevel"/>
    <w:tmpl w:val="5434BE4E"/>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5C2F3734"/>
    <w:multiLevelType w:val="hybridMultilevel"/>
    <w:tmpl w:val="EC0290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C4F7A3C"/>
    <w:multiLevelType w:val="hybridMultilevel"/>
    <w:tmpl w:val="60AC2B80"/>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CF32150"/>
    <w:multiLevelType w:val="hybridMultilevel"/>
    <w:tmpl w:val="702014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CF7334A"/>
    <w:multiLevelType w:val="hybridMultilevel"/>
    <w:tmpl w:val="A86838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5D5E258E"/>
    <w:multiLevelType w:val="hybridMultilevel"/>
    <w:tmpl w:val="0748BBAA"/>
    <w:lvl w:ilvl="0" w:tplc="09AEC376">
      <w:start w:val="1"/>
      <w:numFmt w:val="lowerRoman"/>
      <w:lvlText w:val="(%1)"/>
      <w:lvlJc w:val="left"/>
      <w:pPr>
        <w:ind w:left="1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C7E903A">
      <w:start w:val="1"/>
      <w:numFmt w:val="lowerLetter"/>
      <w:lvlText w:val="%2"/>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9680C8">
      <w:start w:val="1"/>
      <w:numFmt w:val="lowerRoman"/>
      <w:lvlText w:val="%3"/>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3124B6C">
      <w:start w:val="1"/>
      <w:numFmt w:val="decimal"/>
      <w:lvlText w:val="%4"/>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1B81108">
      <w:start w:val="1"/>
      <w:numFmt w:val="lowerLetter"/>
      <w:lvlText w:val="%5"/>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9F075A2">
      <w:start w:val="1"/>
      <w:numFmt w:val="lowerRoman"/>
      <w:lvlText w:val="%6"/>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D202140">
      <w:start w:val="1"/>
      <w:numFmt w:val="decimal"/>
      <w:lvlText w:val="%7"/>
      <w:lvlJc w:val="left"/>
      <w:pPr>
        <w:ind w:left="68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E38E662">
      <w:start w:val="1"/>
      <w:numFmt w:val="lowerLetter"/>
      <w:lvlText w:val="%8"/>
      <w:lvlJc w:val="left"/>
      <w:pPr>
        <w:ind w:left="75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E06D3C8">
      <w:start w:val="1"/>
      <w:numFmt w:val="lowerRoman"/>
      <w:lvlText w:val="%9"/>
      <w:lvlJc w:val="left"/>
      <w:pPr>
        <w:ind w:left="8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3" w15:restartNumberingAfterBreak="0">
    <w:nsid w:val="5D8201B0"/>
    <w:multiLevelType w:val="hybridMultilevel"/>
    <w:tmpl w:val="C66EF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E760D42"/>
    <w:multiLevelType w:val="hybridMultilevel"/>
    <w:tmpl w:val="97FC2C0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5EA0618E"/>
    <w:multiLevelType w:val="hybridMultilevel"/>
    <w:tmpl w:val="931401E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F6742E2"/>
    <w:multiLevelType w:val="hybridMultilevel"/>
    <w:tmpl w:val="E72AD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61327D06"/>
    <w:multiLevelType w:val="hybridMultilevel"/>
    <w:tmpl w:val="2714A2C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62C913B7"/>
    <w:multiLevelType w:val="hybridMultilevel"/>
    <w:tmpl w:val="17684FD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2CA283C"/>
    <w:multiLevelType w:val="hybridMultilevel"/>
    <w:tmpl w:val="90D027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34641EA"/>
    <w:multiLevelType w:val="hybridMultilevel"/>
    <w:tmpl w:val="05201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63EE7ADD"/>
    <w:multiLevelType w:val="hybridMultilevel"/>
    <w:tmpl w:val="8F3C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648340BC"/>
    <w:multiLevelType w:val="hybridMultilevel"/>
    <w:tmpl w:val="56AA50C8"/>
    <w:lvl w:ilvl="0" w:tplc="83501842">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EA00018">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2F0FF92">
      <w:start w:val="1"/>
      <w:numFmt w:val="lowerLetter"/>
      <w:lvlRestart w:val="0"/>
      <w:lvlText w:val="(%3)"/>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984278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F72806A">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A56A540">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1728272">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1BCFC46">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8E0E846">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3" w15:restartNumberingAfterBreak="0">
    <w:nsid w:val="64E5046D"/>
    <w:multiLevelType w:val="hybridMultilevel"/>
    <w:tmpl w:val="F67EFC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652B6576"/>
    <w:multiLevelType w:val="hybridMultilevel"/>
    <w:tmpl w:val="7E783E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658451D9"/>
    <w:multiLevelType w:val="hybridMultilevel"/>
    <w:tmpl w:val="71624D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87D5305"/>
    <w:multiLevelType w:val="hybridMultilevel"/>
    <w:tmpl w:val="77161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8BC4FED"/>
    <w:multiLevelType w:val="hybridMultilevel"/>
    <w:tmpl w:val="078CE07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6B461985"/>
    <w:multiLevelType w:val="hybridMultilevel"/>
    <w:tmpl w:val="946A3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6B4E6267"/>
    <w:multiLevelType w:val="hybridMultilevel"/>
    <w:tmpl w:val="9BACC6AA"/>
    <w:lvl w:ilvl="0" w:tplc="EEB085F6">
      <w:start w:val="4"/>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F140F72">
      <w:start w:val="1"/>
      <w:numFmt w:val="lowerLetter"/>
      <w:lvlText w:val="%2"/>
      <w:lvlJc w:val="left"/>
      <w:pPr>
        <w:ind w:left="2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8B4D360">
      <w:start w:val="1"/>
      <w:numFmt w:val="lowerRoman"/>
      <w:lvlText w:val="%3"/>
      <w:lvlJc w:val="left"/>
      <w:pPr>
        <w:ind w:left="30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CEA87AC">
      <w:start w:val="1"/>
      <w:numFmt w:val="decimal"/>
      <w:lvlText w:val="%4"/>
      <w:lvlJc w:val="left"/>
      <w:pPr>
        <w:ind w:left="3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7627C84">
      <w:start w:val="1"/>
      <w:numFmt w:val="lowerLetter"/>
      <w:lvlText w:val="%5"/>
      <w:lvlJc w:val="left"/>
      <w:pPr>
        <w:ind w:left="44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17EF6C4">
      <w:start w:val="1"/>
      <w:numFmt w:val="lowerRoman"/>
      <w:lvlText w:val="%6"/>
      <w:lvlJc w:val="left"/>
      <w:pPr>
        <w:ind w:left="5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3E8240A">
      <w:start w:val="1"/>
      <w:numFmt w:val="decimal"/>
      <w:lvlText w:val="%7"/>
      <w:lvlJc w:val="left"/>
      <w:pPr>
        <w:ind w:left="5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C7C0BAC">
      <w:start w:val="1"/>
      <w:numFmt w:val="lowerLetter"/>
      <w:lvlText w:val="%8"/>
      <w:lvlJc w:val="left"/>
      <w:pPr>
        <w:ind w:left="6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1089B8A">
      <w:start w:val="1"/>
      <w:numFmt w:val="lowerRoman"/>
      <w:lvlText w:val="%9"/>
      <w:lvlJc w:val="left"/>
      <w:pPr>
        <w:ind w:left="7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0" w15:restartNumberingAfterBreak="0">
    <w:nsid w:val="6B805778"/>
    <w:multiLevelType w:val="hybridMultilevel"/>
    <w:tmpl w:val="BE2E9E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6C7178BA"/>
    <w:multiLevelType w:val="hybridMultilevel"/>
    <w:tmpl w:val="A0929264"/>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6C9D1886"/>
    <w:multiLevelType w:val="hybridMultilevel"/>
    <w:tmpl w:val="E8523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6E661A1F"/>
    <w:multiLevelType w:val="hybridMultilevel"/>
    <w:tmpl w:val="9CE6A54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70430B31"/>
    <w:multiLevelType w:val="hybridMultilevel"/>
    <w:tmpl w:val="01D6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71174889"/>
    <w:multiLevelType w:val="hybridMultilevel"/>
    <w:tmpl w:val="D2EC27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72D10648"/>
    <w:multiLevelType w:val="hybridMultilevel"/>
    <w:tmpl w:val="76C608E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733341B8"/>
    <w:multiLevelType w:val="hybridMultilevel"/>
    <w:tmpl w:val="BFB290A4"/>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75946F79"/>
    <w:multiLevelType w:val="hybridMultilevel"/>
    <w:tmpl w:val="6ABAF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77BF1EF1"/>
    <w:multiLevelType w:val="hybridMultilevel"/>
    <w:tmpl w:val="8C66B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79DD5CAB"/>
    <w:multiLevelType w:val="hybridMultilevel"/>
    <w:tmpl w:val="ABE4CA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A5C63AC"/>
    <w:multiLevelType w:val="hybridMultilevel"/>
    <w:tmpl w:val="4FCCB60C"/>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BD61DD3"/>
    <w:multiLevelType w:val="hybridMultilevel"/>
    <w:tmpl w:val="9C72609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7D5574F4"/>
    <w:multiLevelType w:val="hybridMultilevel"/>
    <w:tmpl w:val="2D00A20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7E1F3B3C"/>
    <w:multiLevelType w:val="hybridMultilevel"/>
    <w:tmpl w:val="5B9E487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7EF9695E"/>
    <w:multiLevelType w:val="hybridMultilevel"/>
    <w:tmpl w:val="F66C2D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F0A7FE8"/>
    <w:multiLevelType w:val="hybridMultilevel"/>
    <w:tmpl w:val="757A6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15:restartNumberingAfterBreak="0">
    <w:nsid w:val="7F5379BB"/>
    <w:multiLevelType w:val="hybridMultilevel"/>
    <w:tmpl w:val="98A6B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8"/>
  </w:num>
  <w:num w:numId="2">
    <w:abstractNumId w:val="76"/>
  </w:num>
  <w:num w:numId="3">
    <w:abstractNumId w:val="12"/>
  </w:num>
  <w:num w:numId="4">
    <w:abstractNumId w:val="88"/>
  </w:num>
  <w:num w:numId="5">
    <w:abstractNumId w:val="32"/>
  </w:num>
  <w:num w:numId="6">
    <w:abstractNumId w:val="6"/>
  </w:num>
  <w:num w:numId="7">
    <w:abstractNumId w:val="28"/>
  </w:num>
  <w:num w:numId="8">
    <w:abstractNumId w:val="83"/>
  </w:num>
  <w:num w:numId="9">
    <w:abstractNumId w:val="41"/>
  </w:num>
  <w:num w:numId="10">
    <w:abstractNumId w:val="78"/>
  </w:num>
  <w:num w:numId="11">
    <w:abstractNumId w:val="99"/>
  </w:num>
  <w:num w:numId="12">
    <w:abstractNumId w:val="66"/>
  </w:num>
  <w:num w:numId="13">
    <w:abstractNumId w:val="14"/>
  </w:num>
  <w:num w:numId="14">
    <w:abstractNumId w:val="121"/>
  </w:num>
  <w:num w:numId="15">
    <w:abstractNumId w:val="25"/>
  </w:num>
  <w:num w:numId="16">
    <w:abstractNumId w:val="79"/>
  </w:num>
  <w:num w:numId="17">
    <w:abstractNumId w:val="89"/>
  </w:num>
  <w:num w:numId="18">
    <w:abstractNumId w:val="70"/>
  </w:num>
  <w:num w:numId="19">
    <w:abstractNumId w:val="7"/>
  </w:num>
  <w:num w:numId="20">
    <w:abstractNumId w:val="123"/>
  </w:num>
  <w:num w:numId="21">
    <w:abstractNumId w:val="55"/>
  </w:num>
  <w:num w:numId="22">
    <w:abstractNumId w:val="46"/>
  </w:num>
  <w:num w:numId="23">
    <w:abstractNumId w:val="30"/>
  </w:num>
  <w:num w:numId="24">
    <w:abstractNumId w:val="2"/>
  </w:num>
  <w:num w:numId="25">
    <w:abstractNumId w:val="4"/>
  </w:num>
  <w:num w:numId="26">
    <w:abstractNumId w:val="96"/>
  </w:num>
  <w:num w:numId="27">
    <w:abstractNumId w:val="36"/>
  </w:num>
  <w:num w:numId="28">
    <w:abstractNumId w:val="71"/>
  </w:num>
  <w:num w:numId="29">
    <w:abstractNumId w:val="47"/>
  </w:num>
  <w:num w:numId="30">
    <w:abstractNumId w:val="115"/>
  </w:num>
  <w:num w:numId="31">
    <w:abstractNumId w:val="82"/>
  </w:num>
  <w:num w:numId="32">
    <w:abstractNumId w:val="61"/>
  </w:num>
  <w:num w:numId="33">
    <w:abstractNumId w:val="38"/>
  </w:num>
  <w:num w:numId="34">
    <w:abstractNumId w:val="52"/>
  </w:num>
  <w:num w:numId="35">
    <w:abstractNumId w:val="72"/>
  </w:num>
  <w:num w:numId="36">
    <w:abstractNumId w:val="120"/>
  </w:num>
  <w:num w:numId="37">
    <w:abstractNumId w:val="98"/>
  </w:num>
  <w:num w:numId="38">
    <w:abstractNumId w:val="37"/>
  </w:num>
  <w:num w:numId="39">
    <w:abstractNumId w:val="127"/>
  </w:num>
  <w:num w:numId="40">
    <w:abstractNumId w:val="45"/>
  </w:num>
  <w:num w:numId="41">
    <w:abstractNumId w:val="95"/>
  </w:num>
  <w:num w:numId="42">
    <w:abstractNumId w:val="43"/>
  </w:num>
  <w:num w:numId="43">
    <w:abstractNumId w:val="124"/>
  </w:num>
  <w:num w:numId="44">
    <w:abstractNumId w:val="104"/>
  </w:num>
  <w:num w:numId="45">
    <w:abstractNumId w:val="15"/>
  </w:num>
  <w:num w:numId="46">
    <w:abstractNumId w:val="20"/>
  </w:num>
  <w:num w:numId="47">
    <w:abstractNumId w:val="91"/>
  </w:num>
  <w:num w:numId="48">
    <w:abstractNumId w:val="111"/>
  </w:num>
  <w:num w:numId="49">
    <w:abstractNumId w:val="122"/>
  </w:num>
  <w:num w:numId="50">
    <w:abstractNumId w:val="10"/>
  </w:num>
  <w:num w:numId="51">
    <w:abstractNumId w:val="64"/>
  </w:num>
  <w:num w:numId="52">
    <w:abstractNumId w:val="67"/>
  </w:num>
  <w:num w:numId="53">
    <w:abstractNumId w:val="57"/>
  </w:num>
  <w:num w:numId="54">
    <w:abstractNumId w:val="125"/>
  </w:num>
  <w:num w:numId="55">
    <w:abstractNumId w:val="86"/>
  </w:num>
  <w:num w:numId="56">
    <w:abstractNumId w:val="93"/>
  </w:num>
  <w:num w:numId="57">
    <w:abstractNumId w:val="84"/>
  </w:num>
  <w:num w:numId="58">
    <w:abstractNumId w:val="53"/>
  </w:num>
  <w:num w:numId="59">
    <w:abstractNumId w:val="112"/>
  </w:num>
  <w:num w:numId="60">
    <w:abstractNumId w:val="18"/>
  </w:num>
  <w:num w:numId="61">
    <w:abstractNumId w:val="119"/>
  </w:num>
  <w:num w:numId="62">
    <w:abstractNumId w:val="106"/>
  </w:num>
  <w:num w:numId="63">
    <w:abstractNumId w:val="108"/>
  </w:num>
  <w:num w:numId="64">
    <w:abstractNumId w:val="126"/>
  </w:num>
  <w:num w:numId="65">
    <w:abstractNumId w:val="60"/>
  </w:num>
  <w:num w:numId="66">
    <w:abstractNumId w:val="114"/>
  </w:num>
  <w:num w:numId="67">
    <w:abstractNumId w:val="31"/>
  </w:num>
  <w:num w:numId="68">
    <w:abstractNumId w:val="42"/>
  </w:num>
  <w:num w:numId="69">
    <w:abstractNumId w:val="62"/>
  </w:num>
  <w:num w:numId="70">
    <w:abstractNumId w:val="21"/>
  </w:num>
  <w:num w:numId="71">
    <w:abstractNumId w:val="100"/>
  </w:num>
  <w:num w:numId="72">
    <w:abstractNumId w:val="23"/>
  </w:num>
  <w:num w:numId="73">
    <w:abstractNumId w:val="11"/>
  </w:num>
  <w:num w:numId="74">
    <w:abstractNumId w:val="51"/>
  </w:num>
  <w:num w:numId="75">
    <w:abstractNumId w:val="0"/>
  </w:num>
  <w:num w:numId="76">
    <w:abstractNumId w:val="39"/>
  </w:num>
  <w:num w:numId="77">
    <w:abstractNumId w:val="34"/>
  </w:num>
  <w:num w:numId="78">
    <w:abstractNumId w:val="33"/>
  </w:num>
  <w:num w:numId="79">
    <w:abstractNumId w:val="110"/>
  </w:num>
  <w:num w:numId="80">
    <w:abstractNumId w:val="27"/>
  </w:num>
  <w:num w:numId="81">
    <w:abstractNumId w:val="22"/>
  </w:num>
  <w:num w:numId="82">
    <w:abstractNumId w:val="118"/>
  </w:num>
  <w:num w:numId="83">
    <w:abstractNumId w:val="90"/>
  </w:num>
  <w:num w:numId="84">
    <w:abstractNumId w:val="101"/>
  </w:num>
  <w:num w:numId="85">
    <w:abstractNumId w:val="35"/>
  </w:num>
  <w:num w:numId="86">
    <w:abstractNumId w:val="49"/>
  </w:num>
  <w:num w:numId="87">
    <w:abstractNumId w:val="73"/>
  </w:num>
  <w:num w:numId="88">
    <w:abstractNumId w:val="69"/>
  </w:num>
  <w:num w:numId="89">
    <w:abstractNumId w:val="16"/>
  </w:num>
  <w:num w:numId="90">
    <w:abstractNumId w:val="77"/>
  </w:num>
  <w:num w:numId="91">
    <w:abstractNumId w:val="74"/>
  </w:num>
  <w:num w:numId="92">
    <w:abstractNumId w:val="8"/>
  </w:num>
  <w:num w:numId="93">
    <w:abstractNumId w:val="81"/>
  </w:num>
  <w:num w:numId="94">
    <w:abstractNumId w:val="9"/>
  </w:num>
  <w:num w:numId="95">
    <w:abstractNumId w:val="105"/>
  </w:num>
  <w:num w:numId="96">
    <w:abstractNumId w:val="58"/>
  </w:num>
  <w:num w:numId="97">
    <w:abstractNumId w:val="17"/>
  </w:num>
  <w:num w:numId="98">
    <w:abstractNumId w:val="68"/>
  </w:num>
  <w:num w:numId="99">
    <w:abstractNumId w:val="116"/>
  </w:num>
  <w:num w:numId="100">
    <w:abstractNumId w:val="5"/>
  </w:num>
  <w:num w:numId="101">
    <w:abstractNumId w:val="1"/>
  </w:num>
  <w:num w:numId="102">
    <w:abstractNumId w:val="107"/>
  </w:num>
  <w:num w:numId="103">
    <w:abstractNumId w:val="80"/>
  </w:num>
  <w:num w:numId="104">
    <w:abstractNumId w:val="29"/>
  </w:num>
  <w:num w:numId="105">
    <w:abstractNumId w:val="65"/>
  </w:num>
  <w:num w:numId="106">
    <w:abstractNumId w:val="54"/>
  </w:num>
  <w:num w:numId="107">
    <w:abstractNumId w:val="40"/>
  </w:num>
  <w:num w:numId="108">
    <w:abstractNumId w:val="97"/>
  </w:num>
  <w:num w:numId="109">
    <w:abstractNumId w:val="103"/>
  </w:num>
  <w:num w:numId="110">
    <w:abstractNumId w:val="113"/>
  </w:num>
  <w:num w:numId="111">
    <w:abstractNumId w:val="94"/>
  </w:num>
  <w:num w:numId="112">
    <w:abstractNumId w:val="19"/>
  </w:num>
  <w:num w:numId="113">
    <w:abstractNumId w:val="117"/>
  </w:num>
  <w:num w:numId="114">
    <w:abstractNumId w:val="13"/>
  </w:num>
  <w:num w:numId="115">
    <w:abstractNumId w:val="75"/>
  </w:num>
  <w:num w:numId="116">
    <w:abstractNumId w:val="56"/>
  </w:num>
  <w:num w:numId="117">
    <w:abstractNumId w:val="87"/>
  </w:num>
  <w:num w:numId="118">
    <w:abstractNumId w:val="63"/>
  </w:num>
  <w:num w:numId="119">
    <w:abstractNumId w:val="24"/>
  </w:num>
  <w:num w:numId="120">
    <w:abstractNumId w:val="85"/>
  </w:num>
  <w:num w:numId="121">
    <w:abstractNumId w:val="59"/>
  </w:num>
  <w:num w:numId="122">
    <w:abstractNumId w:val="102"/>
  </w:num>
  <w:num w:numId="123">
    <w:abstractNumId w:val="50"/>
  </w:num>
  <w:num w:numId="124">
    <w:abstractNumId w:val="92"/>
  </w:num>
  <w:num w:numId="125">
    <w:abstractNumId w:val="26"/>
  </w:num>
  <w:num w:numId="126">
    <w:abstractNumId w:val="44"/>
  </w:num>
  <w:num w:numId="127">
    <w:abstractNumId w:val="3"/>
  </w:num>
  <w:num w:numId="128">
    <w:abstractNumId w:val="10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F7"/>
    <w:rsid w:val="00017322"/>
    <w:rsid w:val="00027B70"/>
    <w:rsid w:val="00037042"/>
    <w:rsid w:val="00064158"/>
    <w:rsid w:val="000B3F63"/>
    <w:rsid w:val="000B5970"/>
    <w:rsid w:val="000C5651"/>
    <w:rsid w:val="000E38B1"/>
    <w:rsid w:val="001128C2"/>
    <w:rsid w:val="001150FE"/>
    <w:rsid w:val="00154274"/>
    <w:rsid w:val="001939A2"/>
    <w:rsid w:val="001A0D55"/>
    <w:rsid w:val="001A7667"/>
    <w:rsid w:val="001B13D4"/>
    <w:rsid w:val="001C66A9"/>
    <w:rsid w:val="001C66C4"/>
    <w:rsid w:val="001E4BCE"/>
    <w:rsid w:val="002321B6"/>
    <w:rsid w:val="00245F0D"/>
    <w:rsid w:val="00257BAE"/>
    <w:rsid w:val="002749A9"/>
    <w:rsid w:val="0031109D"/>
    <w:rsid w:val="00314531"/>
    <w:rsid w:val="00317E1B"/>
    <w:rsid w:val="003365F7"/>
    <w:rsid w:val="003405AC"/>
    <w:rsid w:val="00345B73"/>
    <w:rsid w:val="00352E06"/>
    <w:rsid w:val="00374F45"/>
    <w:rsid w:val="003B251E"/>
    <w:rsid w:val="003E4425"/>
    <w:rsid w:val="00410AB0"/>
    <w:rsid w:val="00413694"/>
    <w:rsid w:val="00497228"/>
    <w:rsid w:val="004A1131"/>
    <w:rsid w:val="004B7FFD"/>
    <w:rsid w:val="004E6570"/>
    <w:rsid w:val="004F09B3"/>
    <w:rsid w:val="005A7BE6"/>
    <w:rsid w:val="005C1CFE"/>
    <w:rsid w:val="0060429F"/>
    <w:rsid w:val="00604774"/>
    <w:rsid w:val="00605FDB"/>
    <w:rsid w:val="00624A58"/>
    <w:rsid w:val="00640832"/>
    <w:rsid w:val="00651F60"/>
    <w:rsid w:val="006647F7"/>
    <w:rsid w:val="006746FD"/>
    <w:rsid w:val="0069410D"/>
    <w:rsid w:val="006A2AC4"/>
    <w:rsid w:val="006D67FC"/>
    <w:rsid w:val="006E6305"/>
    <w:rsid w:val="006F5A25"/>
    <w:rsid w:val="007326EC"/>
    <w:rsid w:val="00733313"/>
    <w:rsid w:val="00737627"/>
    <w:rsid w:val="00747B3B"/>
    <w:rsid w:val="00752ACF"/>
    <w:rsid w:val="00757DB4"/>
    <w:rsid w:val="00771547"/>
    <w:rsid w:val="007900F7"/>
    <w:rsid w:val="00790380"/>
    <w:rsid w:val="00797144"/>
    <w:rsid w:val="007D4FDB"/>
    <w:rsid w:val="0083281D"/>
    <w:rsid w:val="00875F3D"/>
    <w:rsid w:val="008F48BB"/>
    <w:rsid w:val="00905269"/>
    <w:rsid w:val="00947436"/>
    <w:rsid w:val="009506F9"/>
    <w:rsid w:val="0095745E"/>
    <w:rsid w:val="00987974"/>
    <w:rsid w:val="00987DE6"/>
    <w:rsid w:val="00994155"/>
    <w:rsid w:val="00A32783"/>
    <w:rsid w:val="00A348AB"/>
    <w:rsid w:val="00A47A10"/>
    <w:rsid w:val="00A71804"/>
    <w:rsid w:val="00AB4350"/>
    <w:rsid w:val="00AE3D54"/>
    <w:rsid w:val="00AF0FE3"/>
    <w:rsid w:val="00AF7560"/>
    <w:rsid w:val="00B00626"/>
    <w:rsid w:val="00B06E1E"/>
    <w:rsid w:val="00B42AEA"/>
    <w:rsid w:val="00B52927"/>
    <w:rsid w:val="00B70A82"/>
    <w:rsid w:val="00BB1DCF"/>
    <w:rsid w:val="00C14D5C"/>
    <w:rsid w:val="00C21AF3"/>
    <w:rsid w:val="00C24FC1"/>
    <w:rsid w:val="00C47163"/>
    <w:rsid w:val="00C6006B"/>
    <w:rsid w:val="00C66772"/>
    <w:rsid w:val="00C75F62"/>
    <w:rsid w:val="00C902C8"/>
    <w:rsid w:val="00CB30A5"/>
    <w:rsid w:val="00CD54AB"/>
    <w:rsid w:val="00CE4A18"/>
    <w:rsid w:val="00CE6B88"/>
    <w:rsid w:val="00CF4314"/>
    <w:rsid w:val="00D03985"/>
    <w:rsid w:val="00D06AAE"/>
    <w:rsid w:val="00D21A92"/>
    <w:rsid w:val="00D3792E"/>
    <w:rsid w:val="00D51445"/>
    <w:rsid w:val="00D95DCF"/>
    <w:rsid w:val="00DA6972"/>
    <w:rsid w:val="00DC217E"/>
    <w:rsid w:val="00DE530D"/>
    <w:rsid w:val="00E02DF0"/>
    <w:rsid w:val="00E112B6"/>
    <w:rsid w:val="00E27528"/>
    <w:rsid w:val="00E820AF"/>
    <w:rsid w:val="00E927A9"/>
    <w:rsid w:val="00EB409B"/>
    <w:rsid w:val="00EF002A"/>
    <w:rsid w:val="00F25171"/>
    <w:rsid w:val="00F27324"/>
    <w:rsid w:val="00F37471"/>
    <w:rsid w:val="00F67602"/>
    <w:rsid w:val="00F7726A"/>
    <w:rsid w:val="00F77F72"/>
    <w:rsid w:val="00F8315F"/>
    <w:rsid w:val="00F86F78"/>
    <w:rsid w:val="00FB3C9F"/>
    <w:rsid w:val="00FE10ED"/>
    <w:rsid w:val="00FF6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B7E5"/>
  <w15:chartTrackingRefBased/>
  <w15:docId w15:val="{11FBCC7C-73D0-4044-BD28-DB36A681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40832"/>
    <w:pPr>
      <w:keepNext/>
      <w:keepLines/>
      <w:spacing w:after="0"/>
      <w:ind w:left="917" w:hanging="10"/>
      <w:jc w:val="center"/>
      <w:outlineLvl w:val="0"/>
    </w:pPr>
    <w:rPr>
      <w:rFonts w:ascii="Times New Roman" w:eastAsia="Times New Roman" w:hAnsi="Times New Roman" w:cs="Times New Roman"/>
      <w:color w:val="181717"/>
      <w:sz w:val="24"/>
      <w:lang w:eastAsia="en-IN"/>
    </w:rPr>
  </w:style>
  <w:style w:type="paragraph" w:styleId="Heading2">
    <w:name w:val="heading 2"/>
    <w:next w:val="Normal"/>
    <w:link w:val="Heading2Char"/>
    <w:uiPriority w:val="9"/>
    <w:unhideWhenUsed/>
    <w:qFormat/>
    <w:rsid w:val="00640832"/>
    <w:pPr>
      <w:keepNext/>
      <w:keepLines/>
      <w:spacing w:after="0"/>
      <w:ind w:left="1205" w:hanging="10"/>
      <w:jc w:val="right"/>
      <w:outlineLvl w:val="1"/>
    </w:pPr>
    <w:rPr>
      <w:rFonts w:ascii="Times New Roman" w:eastAsia="Times New Roman" w:hAnsi="Times New Roman" w:cs="Times New Roman"/>
      <w:color w:val="181717"/>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7F7"/>
    <w:pPr>
      <w:ind w:left="720"/>
      <w:contextualSpacing/>
    </w:pPr>
  </w:style>
  <w:style w:type="paragraph" w:customStyle="1" w:styleId="head">
    <w:name w:val="head"/>
    <w:basedOn w:val="Normal"/>
    <w:rsid w:val="00AE3D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651F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06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58"/>
  </w:style>
  <w:style w:type="paragraph" w:styleId="Footer">
    <w:name w:val="footer"/>
    <w:basedOn w:val="Normal"/>
    <w:link w:val="FooterChar"/>
    <w:uiPriority w:val="99"/>
    <w:unhideWhenUsed/>
    <w:rsid w:val="0006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58"/>
  </w:style>
  <w:style w:type="character" w:styleId="Hyperlink">
    <w:name w:val="Hyperlink"/>
    <w:basedOn w:val="DefaultParagraphFont"/>
    <w:uiPriority w:val="99"/>
    <w:unhideWhenUsed/>
    <w:rsid w:val="00AF7560"/>
    <w:rPr>
      <w:color w:val="0000FF"/>
      <w:u w:val="single"/>
    </w:rPr>
  </w:style>
  <w:style w:type="paragraph" w:styleId="BalloonText">
    <w:name w:val="Balloon Text"/>
    <w:basedOn w:val="Normal"/>
    <w:link w:val="BalloonTextChar"/>
    <w:uiPriority w:val="99"/>
    <w:semiHidden/>
    <w:unhideWhenUsed/>
    <w:rsid w:val="0041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94"/>
    <w:rPr>
      <w:rFonts w:ascii="Segoe UI" w:hAnsi="Segoe UI" w:cs="Segoe UI"/>
      <w:sz w:val="18"/>
      <w:szCs w:val="18"/>
    </w:rPr>
  </w:style>
  <w:style w:type="character" w:styleId="UnresolvedMention">
    <w:name w:val="Unresolved Mention"/>
    <w:basedOn w:val="DefaultParagraphFont"/>
    <w:uiPriority w:val="99"/>
    <w:semiHidden/>
    <w:unhideWhenUsed/>
    <w:rsid w:val="00314531"/>
    <w:rPr>
      <w:color w:val="605E5C"/>
      <w:shd w:val="clear" w:color="auto" w:fill="E1DFDD"/>
    </w:rPr>
  </w:style>
  <w:style w:type="table" w:styleId="TableGrid">
    <w:name w:val="Table Grid"/>
    <w:basedOn w:val="TableNormal"/>
    <w:uiPriority w:val="39"/>
    <w:rsid w:val="0099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0832"/>
    <w:rPr>
      <w:rFonts w:ascii="Times New Roman" w:eastAsia="Times New Roman" w:hAnsi="Times New Roman" w:cs="Times New Roman"/>
      <w:color w:val="181717"/>
      <w:sz w:val="24"/>
      <w:lang w:eastAsia="en-IN"/>
    </w:rPr>
  </w:style>
  <w:style w:type="character" w:customStyle="1" w:styleId="Heading2Char">
    <w:name w:val="Heading 2 Char"/>
    <w:basedOn w:val="DefaultParagraphFont"/>
    <w:link w:val="Heading2"/>
    <w:uiPriority w:val="9"/>
    <w:rsid w:val="00640832"/>
    <w:rPr>
      <w:rFonts w:ascii="Times New Roman" w:eastAsia="Times New Roman" w:hAnsi="Times New Roman" w:cs="Times New Roman"/>
      <w:color w:val="181717"/>
      <w:sz w:val="20"/>
      <w:lang w:eastAsia="en-IN"/>
    </w:rPr>
  </w:style>
  <w:style w:type="character" w:styleId="CommentReference">
    <w:name w:val="annotation reference"/>
    <w:basedOn w:val="DefaultParagraphFont"/>
    <w:uiPriority w:val="99"/>
    <w:semiHidden/>
    <w:unhideWhenUsed/>
    <w:rsid w:val="00C24FC1"/>
    <w:rPr>
      <w:sz w:val="16"/>
      <w:szCs w:val="16"/>
    </w:rPr>
  </w:style>
  <w:style w:type="paragraph" w:styleId="CommentText">
    <w:name w:val="annotation text"/>
    <w:basedOn w:val="Normal"/>
    <w:link w:val="CommentTextChar"/>
    <w:uiPriority w:val="99"/>
    <w:semiHidden/>
    <w:unhideWhenUsed/>
    <w:rsid w:val="00C24FC1"/>
    <w:pPr>
      <w:spacing w:line="240" w:lineRule="auto"/>
    </w:pPr>
    <w:rPr>
      <w:sz w:val="20"/>
      <w:szCs w:val="20"/>
    </w:rPr>
  </w:style>
  <w:style w:type="character" w:customStyle="1" w:styleId="CommentTextChar">
    <w:name w:val="Comment Text Char"/>
    <w:basedOn w:val="DefaultParagraphFont"/>
    <w:link w:val="CommentText"/>
    <w:uiPriority w:val="99"/>
    <w:semiHidden/>
    <w:rsid w:val="00C24FC1"/>
    <w:rPr>
      <w:sz w:val="20"/>
      <w:szCs w:val="20"/>
    </w:rPr>
  </w:style>
  <w:style w:type="paragraph" w:styleId="CommentSubject">
    <w:name w:val="annotation subject"/>
    <w:basedOn w:val="CommentText"/>
    <w:next w:val="CommentText"/>
    <w:link w:val="CommentSubjectChar"/>
    <w:uiPriority w:val="99"/>
    <w:semiHidden/>
    <w:unhideWhenUsed/>
    <w:rsid w:val="00C24FC1"/>
    <w:rPr>
      <w:b/>
      <w:bCs/>
    </w:rPr>
  </w:style>
  <w:style w:type="character" w:customStyle="1" w:styleId="CommentSubjectChar">
    <w:name w:val="Comment Subject Char"/>
    <w:basedOn w:val="CommentTextChar"/>
    <w:link w:val="CommentSubject"/>
    <w:uiPriority w:val="99"/>
    <w:semiHidden/>
    <w:rsid w:val="00C24FC1"/>
    <w:rPr>
      <w:b/>
      <w:bCs/>
      <w:sz w:val="20"/>
      <w:szCs w:val="20"/>
    </w:rPr>
  </w:style>
  <w:style w:type="table" w:customStyle="1" w:styleId="TableGrid0">
    <w:name w:val="TableGrid"/>
    <w:rsid w:val="00605FDB"/>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604">
      <w:bodyDiv w:val="1"/>
      <w:marLeft w:val="0"/>
      <w:marRight w:val="0"/>
      <w:marTop w:val="0"/>
      <w:marBottom w:val="0"/>
      <w:divBdr>
        <w:top w:val="none" w:sz="0" w:space="0" w:color="auto"/>
        <w:left w:val="none" w:sz="0" w:space="0" w:color="auto"/>
        <w:bottom w:val="none" w:sz="0" w:space="0" w:color="auto"/>
        <w:right w:val="none" w:sz="0" w:space="0" w:color="auto"/>
      </w:divBdr>
    </w:div>
    <w:div w:id="61761036">
      <w:bodyDiv w:val="1"/>
      <w:marLeft w:val="0"/>
      <w:marRight w:val="0"/>
      <w:marTop w:val="0"/>
      <w:marBottom w:val="0"/>
      <w:divBdr>
        <w:top w:val="none" w:sz="0" w:space="0" w:color="auto"/>
        <w:left w:val="none" w:sz="0" w:space="0" w:color="auto"/>
        <w:bottom w:val="none" w:sz="0" w:space="0" w:color="auto"/>
        <w:right w:val="none" w:sz="0" w:space="0" w:color="auto"/>
      </w:divBdr>
    </w:div>
    <w:div w:id="68039969">
      <w:bodyDiv w:val="1"/>
      <w:marLeft w:val="0"/>
      <w:marRight w:val="0"/>
      <w:marTop w:val="0"/>
      <w:marBottom w:val="0"/>
      <w:divBdr>
        <w:top w:val="none" w:sz="0" w:space="0" w:color="auto"/>
        <w:left w:val="none" w:sz="0" w:space="0" w:color="auto"/>
        <w:bottom w:val="none" w:sz="0" w:space="0" w:color="auto"/>
        <w:right w:val="none" w:sz="0" w:space="0" w:color="auto"/>
      </w:divBdr>
    </w:div>
    <w:div w:id="71245497">
      <w:bodyDiv w:val="1"/>
      <w:marLeft w:val="0"/>
      <w:marRight w:val="0"/>
      <w:marTop w:val="0"/>
      <w:marBottom w:val="0"/>
      <w:divBdr>
        <w:top w:val="none" w:sz="0" w:space="0" w:color="auto"/>
        <w:left w:val="none" w:sz="0" w:space="0" w:color="auto"/>
        <w:bottom w:val="none" w:sz="0" w:space="0" w:color="auto"/>
        <w:right w:val="none" w:sz="0" w:space="0" w:color="auto"/>
      </w:divBdr>
    </w:div>
    <w:div w:id="84617922">
      <w:bodyDiv w:val="1"/>
      <w:marLeft w:val="0"/>
      <w:marRight w:val="0"/>
      <w:marTop w:val="0"/>
      <w:marBottom w:val="0"/>
      <w:divBdr>
        <w:top w:val="none" w:sz="0" w:space="0" w:color="auto"/>
        <w:left w:val="none" w:sz="0" w:space="0" w:color="auto"/>
        <w:bottom w:val="none" w:sz="0" w:space="0" w:color="auto"/>
        <w:right w:val="none" w:sz="0" w:space="0" w:color="auto"/>
      </w:divBdr>
    </w:div>
    <w:div w:id="103234368">
      <w:bodyDiv w:val="1"/>
      <w:marLeft w:val="0"/>
      <w:marRight w:val="0"/>
      <w:marTop w:val="0"/>
      <w:marBottom w:val="0"/>
      <w:divBdr>
        <w:top w:val="none" w:sz="0" w:space="0" w:color="auto"/>
        <w:left w:val="none" w:sz="0" w:space="0" w:color="auto"/>
        <w:bottom w:val="none" w:sz="0" w:space="0" w:color="auto"/>
        <w:right w:val="none" w:sz="0" w:space="0" w:color="auto"/>
      </w:divBdr>
    </w:div>
    <w:div w:id="126163243">
      <w:bodyDiv w:val="1"/>
      <w:marLeft w:val="0"/>
      <w:marRight w:val="0"/>
      <w:marTop w:val="0"/>
      <w:marBottom w:val="0"/>
      <w:divBdr>
        <w:top w:val="none" w:sz="0" w:space="0" w:color="auto"/>
        <w:left w:val="none" w:sz="0" w:space="0" w:color="auto"/>
        <w:bottom w:val="none" w:sz="0" w:space="0" w:color="auto"/>
        <w:right w:val="none" w:sz="0" w:space="0" w:color="auto"/>
      </w:divBdr>
    </w:div>
    <w:div w:id="163514550">
      <w:bodyDiv w:val="1"/>
      <w:marLeft w:val="0"/>
      <w:marRight w:val="0"/>
      <w:marTop w:val="0"/>
      <w:marBottom w:val="0"/>
      <w:divBdr>
        <w:top w:val="none" w:sz="0" w:space="0" w:color="auto"/>
        <w:left w:val="none" w:sz="0" w:space="0" w:color="auto"/>
        <w:bottom w:val="none" w:sz="0" w:space="0" w:color="auto"/>
        <w:right w:val="none" w:sz="0" w:space="0" w:color="auto"/>
      </w:divBdr>
    </w:div>
    <w:div w:id="185143015">
      <w:bodyDiv w:val="1"/>
      <w:marLeft w:val="0"/>
      <w:marRight w:val="0"/>
      <w:marTop w:val="0"/>
      <w:marBottom w:val="0"/>
      <w:divBdr>
        <w:top w:val="none" w:sz="0" w:space="0" w:color="auto"/>
        <w:left w:val="none" w:sz="0" w:space="0" w:color="auto"/>
        <w:bottom w:val="none" w:sz="0" w:space="0" w:color="auto"/>
        <w:right w:val="none" w:sz="0" w:space="0" w:color="auto"/>
      </w:divBdr>
    </w:div>
    <w:div w:id="192228954">
      <w:bodyDiv w:val="1"/>
      <w:marLeft w:val="0"/>
      <w:marRight w:val="0"/>
      <w:marTop w:val="0"/>
      <w:marBottom w:val="0"/>
      <w:divBdr>
        <w:top w:val="none" w:sz="0" w:space="0" w:color="auto"/>
        <w:left w:val="none" w:sz="0" w:space="0" w:color="auto"/>
        <w:bottom w:val="none" w:sz="0" w:space="0" w:color="auto"/>
        <w:right w:val="none" w:sz="0" w:space="0" w:color="auto"/>
      </w:divBdr>
    </w:div>
    <w:div w:id="200628142">
      <w:bodyDiv w:val="1"/>
      <w:marLeft w:val="0"/>
      <w:marRight w:val="0"/>
      <w:marTop w:val="0"/>
      <w:marBottom w:val="0"/>
      <w:divBdr>
        <w:top w:val="none" w:sz="0" w:space="0" w:color="auto"/>
        <w:left w:val="none" w:sz="0" w:space="0" w:color="auto"/>
        <w:bottom w:val="none" w:sz="0" w:space="0" w:color="auto"/>
        <w:right w:val="none" w:sz="0" w:space="0" w:color="auto"/>
      </w:divBdr>
    </w:div>
    <w:div w:id="201602184">
      <w:bodyDiv w:val="1"/>
      <w:marLeft w:val="0"/>
      <w:marRight w:val="0"/>
      <w:marTop w:val="0"/>
      <w:marBottom w:val="0"/>
      <w:divBdr>
        <w:top w:val="none" w:sz="0" w:space="0" w:color="auto"/>
        <w:left w:val="none" w:sz="0" w:space="0" w:color="auto"/>
        <w:bottom w:val="none" w:sz="0" w:space="0" w:color="auto"/>
        <w:right w:val="none" w:sz="0" w:space="0" w:color="auto"/>
      </w:divBdr>
    </w:div>
    <w:div w:id="203055573">
      <w:bodyDiv w:val="1"/>
      <w:marLeft w:val="0"/>
      <w:marRight w:val="0"/>
      <w:marTop w:val="0"/>
      <w:marBottom w:val="0"/>
      <w:divBdr>
        <w:top w:val="none" w:sz="0" w:space="0" w:color="auto"/>
        <w:left w:val="none" w:sz="0" w:space="0" w:color="auto"/>
        <w:bottom w:val="none" w:sz="0" w:space="0" w:color="auto"/>
        <w:right w:val="none" w:sz="0" w:space="0" w:color="auto"/>
      </w:divBdr>
    </w:div>
    <w:div w:id="204220457">
      <w:bodyDiv w:val="1"/>
      <w:marLeft w:val="0"/>
      <w:marRight w:val="0"/>
      <w:marTop w:val="0"/>
      <w:marBottom w:val="0"/>
      <w:divBdr>
        <w:top w:val="none" w:sz="0" w:space="0" w:color="auto"/>
        <w:left w:val="none" w:sz="0" w:space="0" w:color="auto"/>
        <w:bottom w:val="none" w:sz="0" w:space="0" w:color="auto"/>
        <w:right w:val="none" w:sz="0" w:space="0" w:color="auto"/>
      </w:divBdr>
    </w:div>
    <w:div w:id="230777700">
      <w:bodyDiv w:val="1"/>
      <w:marLeft w:val="0"/>
      <w:marRight w:val="0"/>
      <w:marTop w:val="0"/>
      <w:marBottom w:val="0"/>
      <w:divBdr>
        <w:top w:val="none" w:sz="0" w:space="0" w:color="auto"/>
        <w:left w:val="none" w:sz="0" w:space="0" w:color="auto"/>
        <w:bottom w:val="none" w:sz="0" w:space="0" w:color="auto"/>
        <w:right w:val="none" w:sz="0" w:space="0" w:color="auto"/>
      </w:divBdr>
    </w:div>
    <w:div w:id="239948468">
      <w:bodyDiv w:val="1"/>
      <w:marLeft w:val="0"/>
      <w:marRight w:val="0"/>
      <w:marTop w:val="0"/>
      <w:marBottom w:val="0"/>
      <w:divBdr>
        <w:top w:val="none" w:sz="0" w:space="0" w:color="auto"/>
        <w:left w:val="none" w:sz="0" w:space="0" w:color="auto"/>
        <w:bottom w:val="none" w:sz="0" w:space="0" w:color="auto"/>
        <w:right w:val="none" w:sz="0" w:space="0" w:color="auto"/>
      </w:divBdr>
    </w:div>
    <w:div w:id="272128842">
      <w:bodyDiv w:val="1"/>
      <w:marLeft w:val="0"/>
      <w:marRight w:val="0"/>
      <w:marTop w:val="0"/>
      <w:marBottom w:val="0"/>
      <w:divBdr>
        <w:top w:val="none" w:sz="0" w:space="0" w:color="auto"/>
        <w:left w:val="none" w:sz="0" w:space="0" w:color="auto"/>
        <w:bottom w:val="none" w:sz="0" w:space="0" w:color="auto"/>
        <w:right w:val="none" w:sz="0" w:space="0" w:color="auto"/>
      </w:divBdr>
    </w:div>
    <w:div w:id="293146012">
      <w:bodyDiv w:val="1"/>
      <w:marLeft w:val="0"/>
      <w:marRight w:val="0"/>
      <w:marTop w:val="0"/>
      <w:marBottom w:val="0"/>
      <w:divBdr>
        <w:top w:val="none" w:sz="0" w:space="0" w:color="auto"/>
        <w:left w:val="none" w:sz="0" w:space="0" w:color="auto"/>
        <w:bottom w:val="none" w:sz="0" w:space="0" w:color="auto"/>
        <w:right w:val="none" w:sz="0" w:space="0" w:color="auto"/>
      </w:divBdr>
    </w:div>
    <w:div w:id="295306000">
      <w:bodyDiv w:val="1"/>
      <w:marLeft w:val="0"/>
      <w:marRight w:val="0"/>
      <w:marTop w:val="0"/>
      <w:marBottom w:val="0"/>
      <w:divBdr>
        <w:top w:val="none" w:sz="0" w:space="0" w:color="auto"/>
        <w:left w:val="none" w:sz="0" w:space="0" w:color="auto"/>
        <w:bottom w:val="none" w:sz="0" w:space="0" w:color="auto"/>
        <w:right w:val="none" w:sz="0" w:space="0" w:color="auto"/>
      </w:divBdr>
    </w:div>
    <w:div w:id="345979924">
      <w:bodyDiv w:val="1"/>
      <w:marLeft w:val="0"/>
      <w:marRight w:val="0"/>
      <w:marTop w:val="0"/>
      <w:marBottom w:val="0"/>
      <w:divBdr>
        <w:top w:val="none" w:sz="0" w:space="0" w:color="auto"/>
        <w:left w:val="none" w:sz="0" w:space="0" w:color="auto"/>
        <w:bottom w:val="none" w:sz="0" w:space="0" w:color="auto"/>
        <w:right w:val="none" w:sz="0" w:space="0" w:color="auto"/>
      </w:divBdr>
    </w:div>
    <w:div w:id="349912014">
      <w:bodyDiv w:val="1"/>
      <w:marLeft w:val="0"/>
      <w:marRight w:val="0"/>
      <w:marTop w:val="0"/>
      <w:marBottom w:val="0"/>
      <w:divBdr>
        <w:top w:val="none" w:sz="0" w:space="0" w:color="auto"/>
        <w:left w:val="none" w:sz="0" w:space="0" w:color="auto"/>
        <w:bottom w:val="none" w:sz="0" w:space="0" w:color="auto"/>
        <w:right w:val="none" w:sz="0" w:space="0" w:color="auto"/>
      </w:divBdr>
    </w:div>
    <w:div w:id="361785949">
      <w:bodyDiv w:val="1"/>
      <w:marLeft w:val="0"/>
      <w:marRight w:val="0"/>
      <w:marTop w:val="0"/>
      <w:marBottom w:val="0"/>
      <w:divBdr>
        <w:top w:val="none" w:sz="0" w:space="0" w:color="auto"/>
        <w:left w:val="none" w:sz="0" w:space="0" w:color="auto"/>
        <w:bottom w:val="none" w:sz="0" w:space="0" w:color="auto"/>
        <w:right w:val="none" w:sz="0" w:space="0" w:color="auto"/>
      </w:divBdr>
    </w:div>
    <w:div w:id="365526921">
      <w:bodyDiv w:val="1"/>
      <w:marLeft w:val="0"/>
      <w:marRight w:val="0"/>
      <w:marTop w:val="0"/>
      <w:marBottom w:val="0"/>
      <w:divBdr>
        <w:top w:val="none" w:sz="0" w:space="0" w:color="auto"/>
        <w:left w:val="none" w:sz="0" w:space="0" w:color="auto"/>
        <w:bottom w:val="none" w:sz="0" w:space="0" w:color="auto"/>
        <w:right w:val="none" w:sz="0" w:space="0" w:color="auto"/>
      </w:divBdr>
    </w:div>
    <w:div w:id="410468967">
      <w:bodyDiv w:val="1"/>
      <w:marLeft w:val="0"/>
      <w:marRight w:val="0"/>
      <w:marTop w:val="0"/>
      <w:marBottom w:val="0"/>
      <w:divBdr>
        <w:top w:val="none" w:sz="0" w:space="0" w:color="auto"/>
        <w:left w:val="none" w:sz="0" w:space="0" w:color="auto"/>
        <w:bottom w:val="none" w:sz="0" w:space="0" w:color="auto"/>
        <w:right w:val="none" w:sz="0" w:space="0" w:color="auto"/>
      </w:divBdr>
    </w:div>
    <w:div w:id="450632737">
      <w:bodyDiv w:val="1"/>
      <w:marLeft w:val="0"/>
      <w:marRight w:val="0"/>
      <w:marTop w:val="0"/>
      <w:marBottom w:val="0"/>
      <w:divBdr>
        <w:top w:val="none" w:sz="0" w:space="0" w:color="auto"/>
        <w:left w:val="none" w:sz="0" w:space="0" w:color="auto"/>
        <w:bottom w:val="none" w:sz="0" w:space="0" w:color="auto"/>
        <w:right w:val="none" w:sz="0" w:space="0" w:color="auto"/>
      </w:divBdr>
    </w:div>
    <w:div w:id="451290501">
      <w:bodyDiv w:val="1"/>
      <w:marLeft w:val="0"/>
      <w:marRight w:val="0"/>
      <w:marTop w:val="0"/>
      <w:marBottom w:val="0"/>
      <w:divBdr>
        <w:top w:val="none" w:sz="0" w:space="0" w:color="auto"/>
        <w:left w:val="none" w:sz="0" w:space="0" w:color="auto"/>
        <w:bottom w:val="none" w:sz="0" w:space="0" w:color="auto"/>
        <w:right w:val="none" w:sz="0" w:space="0" w:color="auto"/>
      </w:divBdr>
    </w:div>
    <w:div w:id="495657690">
      <w:bodyDiv w:val="1"/>
      <w:marLeft w:val="0"/>
      <w:marRight w:val="0"/>
      <w:marTop w:val="0"/>
      <w:marBottom w:val="0"/>
      <w:divBdr>
        <w:top w:val="none" w:sz="0" w:space="0" w:color="auto"/>
        <w:left w:val="none" w:sz="0" w:space="0" w:color="auto"/>
        <w:bottom w:val="none" w:sz="0" w:space="0" w:color="auto"/>
        <w:right w:val="none" w:sz="0" w:space="0" w:color="auto"/>
      </w:divBdr>
    </w:div>
    <w:div w:id="513081572">
      <w:bodyDiv w:val="1"/>
      <w:marLeft w:val="0"/>
      <w:marRight w:val="0"/>
      <w:marTop w:val="0"/>
      <w:marBottom w:val="0"/>
      <w:divBdr>
        <w:top w:val="none" w:sz="0" w:space="0" w:color="auto"/>
        <w:left w:val="none" w:sz="0" w:space="0" w:color="auto"/>
        <w:bottom w:val="none" w:sz="0" w:space="0" w:color="auto"/>
        <w:right w:val="none" w:sz="0" w:space="0" w:color="auto"/>
      </w:divBdr>
    </w:div>
    <w:div w:id="592665222">
      <w:bodyDiv w:val="1"/>
      <w:marLeft w:val="0"/>
      <w:marRight w:val="0"/>
      <w:marTop w:val="0"/>
      <w:marBottom w:val="0"/>
      <w:divBdr>
        <w:top w:val="none" w:sz="0" w:space="0" w:color="auto"/>
        <w:left w:val="none" w:sz="0" w:space="0" w:color="auto"/>
        <w:bottom w:val="none" w:sz="0" w:space="0" w:color="auto"/>
        <w:right w:val="none" w:sz="0" w:space="0" w:color="auto"/>
      </w:divBdr>
    </w:div>
    <w:div w:id="612059459">
      <w:bodyDiv w:val="1"/>
      <w:marLeft w:val="0"/>
      <w:marRight w:val="0"/>
      <w:marTop w:val="0"/>
      <w:marBottom w:val="0"/>
      <w:divBdr>
        <w:top w:val="none" w:sz="0" w:space="0" w:color="auto"/>
        <w:left w:val="none" w:sz="0" w:space="0" w:color="auto"/>
        <w:bottom w:val="none" w:sz="0" w:space="0" w:color="auto"/>
        <w:right w:val="none" w:sz="0" w:space="0" w:color="auto"/>
      </w:divBdr>
    </w:div>
    <w:div w:id="624459434">
      <w:bodyDiv w:val="1"/>
      <w:marLeft w:val="0"/>
      <w:marRight w:val="0"/>
      <w:marTop w:val="0"/>
      <w:marBottom w:val="0"/>
      <w:divBdr>
        <w:top w:val="none" w:sz="0" w:space="0" w:color="auto"/>
        <w:left w:val="none" w:sz="0" w:space="0" w:color="auto"/>
        <w:bottom w:val="none" w:sz="0" w:space="0" w:color="auto"/>
        <w:right w:val="none" w:sz="0" w:space="0" w:color="auto"/>
      </w:divBdr>
    </w:div>
    <w:div w:id="631524319">
      <w:bodyDiv w:val="1"/>
      <w:marLeft w:val="0"/>
      <w:marRight w:val="0"/>
      <w:marTop w:val="0"/>
      <w:marBottom w:val="0"/>
      <w:divBdr>
        <w:top w:val="none" w:sz="0" w:space="0" w:color="auto"/>
        <w:left w:val="none" w:sz="0" w:space="0" w:color="auto"/>
        <w:bottom w:val="none" w:sz="0" w:space="0" w:color="auto"/>
        <w:right w:val="none" w:sz="0" w:space="0" w:color="auto"/>
      </w:divBdr>
    </w:div>
    <w:div w:id="649557934">
      <w:bodyDiv w:val="1"/>
      <w:marLeft w:val="0"/>
      <w:marRight w:val="0"/>
      <w:marTop w:val="0"/>
      <w:marBottom w:val="0"/>
      <w:divBdr>
        <w:top w:val="none" w:sz="0" w:space="0" w:color="auto"/>
        <w:left w:val="none" w:sz="0" w:space="0" w:color="auto"/>
        <w:bottom w:val="none" w:sz="0" w:space="0" w:color="auto"/>
        <w:right w:val="none" w:sz="0" w:space="0" w:color="auto"/>
      </w:divBdr>
    </w:div>
    <w:div w:id="685638225">
      <w:bodyDiv w:val="1"/>
      <w:marLeft w:val="0"/>
      <w:marRight w:val="0"/>
      <w:marTop w:val="0"/>
      <w:marBottom w:val="0"/>
      <w:divBdr>
        <w:top w:val="none" w:sz="0" w:space="0" w:color="auto"/>
        <w:left w:val="none" w:sz="0" w:space="0" w:color="auto"/>
        <w:bottom w:val="none" w:sz="0" w:space="0" w:color="auto"/>
        <w:right w:val="none" w:sz="0" w:space="0" w:color="auto"/>
      </w:divBdr>
    </w:div>
    <w:div w:id="693658067">
      <w:bodyDiv w:val="1"/>
      <w:marLeft w:val="0"/>
      <w:marRight w:val="0"/>
      <w:marTop w:val="0"/>
      <w:marBottom w:val="0"/>
      <w:divBdr>
        <w:top w:val="none" w:sz="0" w:space="0" w:color="auto"/>
        <w:left w:val="none" w:sz="0" w:space="0" w:color="auto"/>
        <w:bottom w:val="none" w:sz="0" w:space="0" w:color="auto"/>
        <w:right w:val="none" w:sz="0" w:space="0" w:color="auto"/>
      </w:divBdr>
    </w:div>
    <w:div w:id="697698589">
      <w:bodyDiv w:val="1"/>
      <w:marLeft w:val="0"/>
      <w:marRight w:val="0"/>
      <w:marTop w:val="0"/>
      <w:marBottom w:val="0"/>
      <w:divBdr>
        <w:top w:val="none" w:sz="0" w:space="0" w:color="auto"/>
        <w:left w:val="none" w:sz="0" w:space="0" w:color="auto"/>
        <w:bottom w:val="none" w:sz="0" w:space="0" w:color="auto"/>
        <w:right w:val="none" w:sz="0" w:space="0" w:color="auto"/>
      </w:divBdr>
    </w:div>
    <w:div w:id="723718236">
      <w:bodyDiv w:val="1"/>
      <w:marLeft w:val="0"/>
      <w:marRight w:val="0"/>
      <w:marTop w:val="0"/>
      <w:marBottom w:val="0"/>
      <w:divBdr>
        <w:top w:val="none" w:sz="0" w:space="0" w:color="auto"/>
        <w:left w:val="none" w:sz="0" w:space="0" w:color="auto"/>
        <w:bottom w:val="none" w:sz="0" w:space="0" w:color="auto"/>
        <w:right w:val="none" w:sz="0" w:space="0" w:color="auto"/>
      </w:divBdr>
    </w:div>
    <w:div w:id="755054616">
      <w:bodyDiv w:val="1"/>
      <w:marLeft w:val="0"/>
      <w:marRight w:val="0"/>
      <w:marTop w:val="0"/>
      <w:marBottom w:val="0"/>
      <w:divBdr>
        <w:top w:val="none" w:sz="0" w:space="0" w:color="auto"/>
        <w:left w:val="none" w:sz="0" w:space="0" w:color="auto"/>
        <w:bottom w:val="none" w:sz="0" w:space="0" w:color="auto"/>
        <w:right w:val="none" w:sz="0" w:space="0" w:color="auto"/>
      </w:divBdr>
    </w:div>
    <w:div w:id="761608470">
      <w:bodyDiv w:val="1"/>
      <w:marLeft w:val="0"/>
      <w:marRight w:val="0"/>
      <w:marTop w:val="0"/>
      <w:marBottom w:val="0"/>
      <w:divBdr>
        <w:top w:val="none" w:sz="0" w:space="0" w:color="auto"/>
        <w:left w:val="none" w:sz="0" w:space="0" w:color="auto"/>
        <w:bottom w:val="none" w:sz="0" w:space="0" w:color="auto"/>
        <w:right w:val="none" w:sz="0" w:space="0" w:color="auto"/>
      </w:divBdr>
    </w:div>
    <w:div w:id="768813363">
      <w:bodyDiv w:val="1"/>
      <w:marLeft w:val="0"/>
      <w:marRight w:val="0"/>
      <w:marTop w:val="0"/>
      <w:marBottom w:val="0"/>
      <w:divBdr>
        <w:top w:val="none" w:sz="0" w:space="0" w:color="auto"/>
        <w:left w:val="none" w:sz="0" w:space="0" w:color="auto"/>
        <w:bottom w:val="none" w:sz="0" w:space="0" w:color="auto"/>
        <w:right w:val="none" w:sz="0" w:space="0" w:color="auto"/>
      </w:divBdr>
    </w:div>
    <w:div w:id="813791302">
      <w:bodyDiv w:val="1"/>
      <w:marLeft w:val="0"/>
      <w:marRight w:val="0"/>
      <w:marTop w:val="0"/>
      <w:marBottom w:val="0"/>
      <w:divBdr>
        <w:top w:val="none" w:sz="0" w:space="0" w:color="auto"/>
        <w:left w:val="none" w:sz="0" w:space="0" w:color="auto"/>
        <w:bottom w:val="none" w:sz="0" w:space="0" w:color="auto"/>
        <w:right w:val="none" w:sz="0" w:space="0" w:color="auto"/>
      </w:divBdr>
    </w:div>
    <w:div w:id="825783238">
      <w:bodyDiv w:val="1"/>
      <w:marLeft w:val="0"/>
      <w:marRight w:val="0"/>
      <w:marTop w:val="0"/>
      <w:marBottom w:val="0"/>
      <w:divBdr>
        <w:top w:val="none" w:sz="0" w:space="0" w:color="auto"/>
        <w:left w:val="none" w:sz="0" w:space="0" w:color="auto"/>
        <w:bottom w:val="none" w:sz="0" w:space="0" w:color="auto"/>
        <w:right w:val="none" w:sz="0" w:space="0" w:color="auto"/>
      </w:divBdr>
    </w:div>
    <w:div w:id="870846797">
      <w:bodyDiv w:val="1"/>
      <w:marLeft w:val="0"/>
      <w:marRight w:val="0"/>
      <w:marTop w:val="0"/>
      <w:marBottom w:val="0"/>
      <w:divBdr>
        <w:top w:val="none" w:sz="0" w:space="0" w:color="auto"/>
        <w:left w:val="none" w:sz="0" w:space="0" w:color="auto"/>
        <w:bottom w:val="none" w:sz="0" w:space="0" w:color="auto"/>
        <w:right w:val="none" w:sz="0" w:space="0" w:color="auto"/>
      </w:divBdr>
    </w:div>
    <w:div w:id="878125241">
      <w:bodyDiv w:val="1"/>
      <w:marLeft w:val="0"/>
      <w:marRight w:val="0"/>
      <w:marTop w:val="0"/>
      <w:marBottom w:val="0"/>
      <w:divBdr>
        <w:top w:val="none" w:sz="0" w:space="0" w:color="auto"/>
        <w:left w:val="none" w:sz="0" w:space="0" w:color="auto"/>
        <w:bottom w:val="none" w:sz="0" w:space="0" w:color="auto"/>
        <w:right w:val="none" w:sz="0" w:space="0" w:color="auto"/>
      </w:divBdr>
    </w:div>
    <w:div w:id="890269774">
      <w:bodyDiv w:val="1"/>
      <w:marLeft w:val="0"/>
      <w:marRight w:val="0"/>
      <w:marTop w:val="0"/>
      <w:marBottom w:val="0"/>
      <w:divBdr>
        <w:top w:val="none" w:sz="0" w:space="0" w:color="auto"/>
        <w:left w:val="none" w:sz="0" w:space="0" w:color="auto"/>
        <w:bottom w:val="none" w:sz="0" w:space="0" w:color="auto"/>
        <w:right w:val="none" w:sz="0" w:space="0" w:color="auto"/>
      </w:divBdr>
    </w:div>
    <w:div w:id="900680224">
      <w:bodyDiv w:val="1"/>
      <w:marLeft w:val="0"/>
      <w:marRight w:val="0"/>
      <w:marTop w:val="0"/>
      <w:marBottom w:val="0"/>
      <w:divBdr>
        <w:top w:val="none" w:sz="0" w:space="0" w:color="auto"/>
        <w:left w:val="none" w:sz="0" w:space="0" w:color="auto"/>
        <w:bottom w:val="none" w:sz="0" w:space="0" w:color="auto"/>
        <w:right w:val="none" w:sz="0" w:space="0" w:color="auto"/>
      </w:divBdr>
    </w:div>
    <w:div w:id="903177620">
      <w:bodyDiv w:val="1"/>
      <w:marLeft w:val="0"/>
      <w:marRight w:val="0"/>
      <w:marTop w:val="0"/>
      <w:marBottom w:val="0"/>
      <w:divBdr>
        <w:top w:val="none" w:sz="0" w:space="0" w:color="auto"/>
        <w:left w:val="none" w:sz="0" w:space="0" w:color="auto"/>
        <w:bottom w:val="none" w:sz="0" w:space="0" w:color="auto"/>
        <w:right w:val="none" w:sz="0" w:space="0" w:color="auto"/>
      </w:divBdr>
    </w:div>
    <w:div w:id="912469844">
      <w:bodyDiv w:val="1"/>
      <w:marLeft w:val="0"/>
      <w:marRight w:val="0"/>
      <w:marTop w:val="0"/>
      <w:marBottom w:val="0"/>
      <w:divBdr>
        <w:top w:val="none" w:sz="0" w:space="0" w:color="auto"/>
        <w:left w:val="none" w:sz="0" w:space="0" w:color="auto"/>
        <w:bottom w:val="none" w:sz="0" w:space="0" w:color="auto"/>
        <w:right w:val="none" w:sz="0" w:space="0" w:color="auto"/>
      </w:divBdr>
    </w:div>
    <w:div w:id="924919735">
      <w:bodyDiv w:val="1"/>
      <w:marLeft w:val="0"/>
      <w:marRight w:val="0"/>
      <w:marTop w:val="0"/>
      <w:marBottom w:val="0"/>
      <w:divBdr>
        <w:top w:val="none" w:sz="0" w:space="0" w:color="auto"/>
        <w:left w:val="none" w:sz="0" w:space="0" w:color="auto"/>
        <w:bottom w:val="none" w:sz="0" w:space="0" w:color="auto"/>
        <w:right w:val="none" w:sz="0" w:space="0" w:color="auto"/>
      </w:divBdr>
    </w:div>
    <w:div w:id="933585641">
      <w:bodyDiv w:val="1"/>
      <w:marLeft w:val="0"/>
      <w:marRight w:val="0"/>
      <w:marTop w:val="0"/>
      <w:marBottom w:val="0"/>
      <w:divBdr>
        <w:top w:val="none" w:sz="0" w:space="0" w:color="auto"/>
        <w:left w:val="none" w:sz="0" w:space="0" w:color="auto"/>
        <w:bottom w:val="none" w:sz="0" w:space="0" w:color="auto"/>
        <w:right w:val="none" w:sz="0" w:space="0" w:color="auto"/>
      </w:divBdr>
    </w:div>
    <w:div w:id="936712523">
      <w:bodyDiv w:val="1"/>
      <w:marLeft w:val="0"/>
      <w:marRight w:val="0"/>
      <w:marTop w:val="0"/>
      <w:marBottom w:val="0"/>
      <w:divBdr>
        <w:top w:val="none" w:sz="0" w:space="0" w:color="auto"/>
        <w:left w:val="none" w:sz="0" w:space="0" w:color="auto"/>
        <w:bottom w:val="none" w:sz="0" w:space="0" w:color="auto"/>
        <w:right w:val="none" w:sz="0" w:space="0" w:color="auto"/>
      </w:divBdr>
    </w:div>
    <w:div w:id="945431388">
      <w:bodyDiv w:val="1"/>
      <w:marLeft w:val="0"/>
      <w:marRight w:val="0"/>
      <w:marTop w:val="0"/>
      <w:marBottom w:val="0"/>
      <w:divBdr>
        <w:top w:val="none" w:sz="0" w:space="0" w:color="auto"/>
        <w:left w:val="none" w:sz="0" w:space="0" w:color="auto"/>
        <w:bottom w:val="none" w:sz="0" w:space="0" w:color="auto"/>
        <w:right w:val="none" w:sz="0" w:space="0" w:color="auto"/>
      </w:divBdr>
    </w:div>
    <w:div w:id="964116300">
      <w:bodyDiv w:val="1"/>
      <w:marLeft w:val="0"/>
      <w:marRight w:val="0"/>
      <w:marTop w:val="0"/>
      <w:marBottom w:val="0"/>
      <w:divBdr>
        <w:top w:val="none" w:sz="0" w:space="0" w:color="auto"/>
        <w:left w:val="none" w:sz="0" w:space="0" w:color="auto"/>
        <w:bottom w:val="none" w:sz="0" w:space="0" w:color="auto"/>
        <w:right w:val="none" w:sz="0" w:space="0" w:color="auto"/>
      </w:divBdr>
    </w:div>
    <w:div w:id="975330319">
      <w:bodyDiv w:val="1"/>
      <w:marLeft w:val="0"/>
      <w:marRight w:val="0"/>
      <w:marTop w:val="0"/>
      <w:marBottom w:val="0"/>
      <w:divBdr>
        <w:top w:val="none" w:sz="0" w:space="0" w:color="auto"/>
        <w:left w:val="none" w:sz="0" w:space="0" w:color="auto"/>
        <w:bottom w:val="none" w:sz="0" w:space="0" w:color="auto"/>
        <w:right w:val="none" w:sz="0" w:space="0" w:color="auto"/>
      </w:divBdr>
    </w:div>
    <w:div w:id="996225198">
      <w:bodyDiv w:val="1"/>
      <w:marLeft w:val="0"/>
      <w:marRight w:val="0"/>
      <w:marTop w:val="0"/>
      <w:marBottom w:val="0"/>
      <w:divBdr>
        <w:top w:val="none" w:sz="0" w:space="0" w:color="auto"/>
        <w:left w:val="none" w:sz="0" w:space="0" w:color="auto"/>
        <w:bottom w:val="none" w:sz="0" w:space="0" w:color="auto"/>
        <w:right w:val="none" w:sz="0" w:space="0" w:color="auto"/>
      </w:divBdr>
    </w:div>
    <w:div w:id="1028215555">
      <w:bodyDiv w:val="1"/>
      <w:marLeft w:val="0"/>
      <w:marRight w:val="0"/>
      <w:marTop w:val="0"/>
      <w:marBottom w:val="0"/>
      <w:divBdr>
        <w:top w:val="none" w:sz="0" w:space="0" w:color="auto"/>
        <w:left w:val="none" w:sz="0" w:space="0" w:color="auto"/>
        <w:bottom w:val="none" w:sz="0" w:space="0" w:color="auto"/>
        <w:right w:val="none" w:sz="0" w:space="0" w:color="auto"/>
      </w:divBdr>
    </w:div>
    <w:div w:id="1101338531">
      <w:bodyDiv w:val="1"/>
      <w:marLeft w:val="0"/>
      <w:marRight w:val="0"/>
      <w:marTop w:val="0"/>
      <w:marBottom w:val="0"/>
      <w:divBdr>
        <w:top w:val="none" w:sz="0" w:space="0" w:color="auto"/>
        <w:left w:val="none" w:sz="0" w:space="0" w:color="auto"/>
        <w:bottom w:val="none" w:sz="0" w:space="0" w:color="auto"/>
        <w:right w:val="none" w:sz="0" w:space="0" w:color="auto"/>
      </w:divBdr>
    </w:div>
    <w:div w:id="1143543275">
      <w:bodyDiv w:val="1"/>
      <w:marLeft w:val="0"/>
      <w:marRight w:val="0"/>
      <w:marTop w:val="0"/>
      <w:marBottom w:val="0"/>
      <w:divBdr>
        <w:top w:val="none" w:sz="0" w:space="0" w:color="auto"/>
        <w:left w:val="none" w:sz="0" w:space="0" w:color="auto"/>
        <w:bottom w:val="none" w:sz="0" w:space="0" w:color="auto"/>
        <w:right w:val="none" w:sz="0" w:space="0" w:color="auto"/>
      </w:divBdr>
    </w:div>
    <w:div w:id="1144617042">
      <w:bodyDiv w:val="1"/>
      <w:marLeft w:val="0"/>
      <w:marRight w:val="0"/>
      <w:marTop w:val="0"/>
      <w:marBottom w:val="0"/>
      <w:divBdr>
        <w:top w:val="none" w:sz="0" w:space="0" w:color="auto"/>
        <w:left w:val="none" w:sz="0" w:space="0" w:color="auto"/>
        <w:bottom w:val="none" w:sz="0" w:space="0" w:color="auto"/>
        <w:right w:val="none" w:sz="0" w:space="0" w:color="auto"/>
      </w:divBdr>
    </w:div>
    <w:div w:id="1153833405">
      <w:bodyDiv w:val="1"/>
      <w:marLeft w:val="0"/>
      <w:marRight w:val="0"/>
      <w:marTop w:val="0"/>
      <w:marBottom w:val="0"/>
      <w:divBdr>
        <w:top w:val="none" w:sz="0" w:space="0" w:color="auto"/>
        <w:left w:val="none" w:sz="0" w:space="0" w:color="auto"/>
        <w:bottom w:val="none" w:sz="0" w:space="0" w:color="auto"/>
        <w:right w:val="none" w:sz="0" w:space="0" w:color="auto"/>
      </w:divBdr>
    </w:div>
    <w:div w:id="1162045798">
      <w:bodyDiv w:val="1"/>
      <w:marLeft w:val="0"/>
      <w:marRight w:val="0"/>
      <w:marTop w:val="0"/>
      <w:marBottom w:val="0"/>
      <w:divBdr>
        <w:top w:val="none" w:sz="0" w:space="0" w:color="auto"/>
        <w:left w:val="none" w:sz="0" w:space="0" w:color="auto"/>
        <w:bottom w:val="none" w:sz="0" w:space="0" w:color="auto"/>
        <w:right w:val="none" w:sz="0" w:space="0" w:color="auto"/>
      </w:divBdr>
    </w:div>
    <w:div w:id="1219972867">
      <w:bodyDiv w:val="1"/>
      <w:marLeft w:val="0"/>
      <w:marRight w:val="0"/>
      <w:marTop w:val="0"/>
      <w:marBottom w:val="0"/>
      <w:divBdr>
        <w:top w:val="none" w:sz="0" w:space="0" w:color="auto"/>
        <w:left w:val="none" w:sz="0" w:space="0" w:color="auto"/>
        <w:bottom w:val="none" w:sz="0" w:space="0" w:color="auto"/>
        <w:right w:val="none" w:sz="0" w:space="0" w:color="auto"/>
      </w:divBdr>
    </w:div>
    <w:div w:id="1223907075">
      <w:bodyDiv w:val="1"/>
      <w:marLeft w:val="0"/>
      <w:marRight w:val="0"/>
      <w:marTop w:val="0"/>
      <w:marBottom w:val="0"/>
      <w:divBdr>
        <w:top w:val="none" w:sz="0" w:space="0" w:color="auto"/>
        <w:left w:val="none" w:sz="0" w:space="0" w:color="auto"/>
        <w:bottom w:val="none" w:sz="0" w:space="0" w:color="auto"/>
        <w:right w:val="none" w:sz="0" w:space="0" w:color="auto"/>
      </w:divBdr>
    </w:div>
    <w:div w:id="1245603020">
      <w:bodyDiv w:val="1"/>
      <w:marLeft w:val="0"/>
      <w:marRight w:val="0"/>
      <w:marTop w:val="0"/>
      <w:marBottom w:val="0"/>
      <w:divBdr>
        <w:top w:val="none" w:sz="0" w:space="0" w:color="auto"/>
        <w:left w:val="none" w:sz="0" w:space="0" w:color="auto"/>
        <w:bottom w:val="none" w:sz="0" w:space="0" w:color="auto"/>
        <w:right w:val="none" w:sz="0" w:space="0" w:color="auto"/>
      </w:divBdr>
    </w:div>
    <w:div w:id="1300114904">
      <w:bodyDiv w:val="1"/>
      <w:marLeft w:val="0"/>
      <w:marRight w:val="0"/>
      <w:marTop w:val="0"/>
      <w:marBottom w:val="0"/>
      <w:divBdr>
        <w:top w:val="none" w:sz="0" w:space="0" w:color="auto"/>
        <w:left w:val="none" w:sz="0" w:space="0" w:color="auto"/>
        <w:bottom w:val="none" w:sz="0" w:space="0" w:color="auto"/>
        <w:right w:val="none" w:sz="0" w:space="0" w:color="auto"/>
      </w:divBdr>
    </w:div>
    <w:div w:id="1307052784">
      <w:bodyDiv w:val="1"/>
      <w:marLeft w:val="0"/>
      <w:marRight w:val="0"/>
      <w:marTop w:val="0"/>
      <w:marBottom w:val="0"/>
      <w:divBdr>
        <w:top w:val="none" w:sz="0" w:space="0" w:color="auto"/>
        <w:left w:val="none" w:sz="0" w:space="0" w:color="auto"/>
        <w:bottom w:val="none" w:sz="0" w:space="0" w:color="auto"/>
        <w:right w:val="none" w:sz="0" w:space="0" w:color="auto"/>
      </w:divBdr>
    </w:div>
    <w:div w:id="1308053638">
      <w:bodyDiv w:val="1"/>
      <w:marLeft w:val="0"/>
      <w:marRight w:val="0"/>
      <w:marTop w:val="0"/>
      <w:marBottom w:val="0"/>
      <w:divBdr>
        <w:top w:val="none" w:sz="0" w:space="0" w:color="auto"/>
        <w:left w:val="none" w:sz="0" w:space="0" w:color="auto"/>
        <w:bottom w:val="none" w:sz="0" w:space="0" w:color="auto"/>
        <w:right w:val="none" w:sz="0" w:space="0" w:color="auto"/>
      </w:divBdr>
      <w:divsChild>
        <w:div w:id="10418553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26669233">
      <w:bodyDiv w:val="1"/>
      <w:marLeft w:val="0"/>
      <w:marRight w:val="0"/>
      <w:marTop w:val="0"/>
      <w:marBottom w:val="0"/>
      <w:divBdr>
        <w:top w:val="none" w:sz="0" w:space="0" w:color="auto"/>
        <w:left w:val="none" w:sz="0" w:space="0" w:color="auto"/>
        <w:bottom w:val="none" w:sz="0" w:space="0" w:color="auto"/>
        <w:right w:val="none" w:sz="0" w:space="0" w:color="auto"/>
      </w:divBdr>
    </w:div>
    <w:div w:id="1359548164">
      <w:bodyDiv w:val="1"/>
      <w:marLeft w:val="0"/>
      <w:marRight w:val="0"/>
      <w:marTop w:val="0"/>
      <w:marBottom w:val="0"/>
      <w:divBdr>
        <w:top w:val="none" w:sz="0" w:space="0" w:color="auto"/>
        <w:left w:val="none" w:sz="0" w:space="0" w:color="auto"/>
        <w:bottom w:val="none" w:sz="0" w:space="0" w:color="auto"/>
        <w:right w:val="none" w:sz="0" w:space="0" w:color="auto"/>
      </w:divBdr>
    </w:div>
    <w:div w:id="1367756919">
      <w:bodyDiv w:val="1"/>
      <w:marLeft w:val="0"/>
      <w:marRight w:val="0"/>
      <w:marTop w:val="0"/>
      <w:marBottom w:val="0"/>
      <w:divBdr>
        <w:top w:val="none" w:sz="0" w:space="0" w:color="auto"/>
        <w:left w:val="none" w:sz="0" w:space="0" w:color="auto"/>
        <w:bottom w:val="none" w:sz="0" w:space="0" w:color="auto"/>
        <w:right w:val="none" w:sz="0" w:space="0" w:color="auto"/>
      </w:divBdr>
    </w:div>
    <w:div w:id="1390498898">
      <w:bodyDiv w:val="1"/>
      <w:marLeft w:val="0"/>
      <w:marRight w:val="0"/>
      <w:marTop w:val="0"/>
      <w:marBottom w:val="0"/>
      <w:divBdr>
        <w:top w:val="none" w:sz="0" w:space="0" w:color="auto"/>
        <w:left w:val="none" w:sz="0" w:space="0" w:color="auto"/>
        <w:bottom w:val="none" w:sz="0" w:space="0" w:color="auto"/>
        <w:right w:val="none" w:sz="0" w:space="0" w:color="auto"/>
      </w:divBdr>
    </w:div>
    <w:div w:id="1392845099">
      <w:bodyDiv w:val="1"/>
      <w:marLeft w:val="0"/>
      <w:marRight w:val="0"/>
      <w:marTop w:val="0"/>
      <w:marBottom w:val="0"/>
      <w:divBdr>
        <w:top w:val="none" w:sz="0" w:space="0" w:color="auto"/>
        <w:left w:val="none" w:sz="0" w:space="0" w:color="auto"/>
        <w:bottom w:val="none" w:sz="0" w:space="0" w:color="auto"/>
        <w:right w:val="none" w:sz="0" w:space="0" w:color="auto"/>
      </w:divBdr>
    </w:div>
    <w:div w:id="1395930215">
      <w:bodyDiv w:val="1"/>
      <w:marLeft w:val="0"/>
      <w:marRight w:val="0"/>
      <w:marTop w:val="0"/>
      <w:marBottom w:val="0"/>
      <w:divBdr>
        <w:top w:val="none" w:sz="0" w:space="0" w:color="auto"/>
        <w:left w:val="none" w:sz="0" w:space="0" w:color="auto"/>
        <w:bottom w:val="none" w:sz="0" w:space="0" w:color="auto"/>
        <w:right w:val="none" w:sz="0" w:space="0" w:color="auto"/>
      </w:divBdr>
    </w:div>
    <w:div w:id="1428235918">
      <w:bodyDiv w:val="1"/>
      <w:marLeft w:val="0"/>
      <w:marRight w:val="0"/>
      <w:marTop w:val="0"/>
      <w:marBottom w:val="0"/>
      <w:divBdr>
        <w:top w:val="none" w:sz="0" w:space="0" w:color="auto"/>
        <w:left w:val="none" w:sz="0" w:space="0" w:color="auto"/>
        <w:bottom w:val="none" w:sz="0" w:space="0" w:color="auto"/>
        <w:right w:val="none" w:sz="0" w:space="0" w:color="auto"/>
      </w:divBdr>
    </w:div>
    <w:div w:id="1485777725">
      <w:bodyDiv w:val="1"/>
      <w:marLeft w:val="0"/>
      <w:marRight w:val="0"/>
      <w:marTop w:val="0"/>
      <w:marBottom w:val="0"/>
      <w:divBdr>
        <w:top w:val="none" w:sz="0" w:space="0" w:color="auto"/>
        <w:left w:val="none" w:sz="0" w:space="0" w:color="auto"/>
        <w:bottom w:val="none" w:sz="0" w:space="0" w:color="auto"/>
        <w:right w:val="none" w:sz="0" w:space="0" w:color="auto"/>
      </w:divBdr>
    </w:div>
    <w:div w:id="1527792850">
      <w:bodyDiv w:val="1"/>
      <w:marLeft w:val="0"/>
      <w:marRight w:val="0"/>
      <w:marTop w:val="0"/>
      <w:marBottom w:val="0"/>
      <w:divBdr>
        <w:top w:val="none" w:sz="0" w:space="0" w:color="auto"/>
        <w:left w:val="none" w:sz="0" w:space="0" w:color="auto"/>
        <w:bottom w:val="none" w:sz="0" w:space="0" w:color="auto"/>
        <w:right w:val="none" w:sz="0" w:space="0" w:color="auto"/>
      </w:divBdr>
    </w:div>
    <w:div w:id="1614512056">
      <w:bodyDiv w:val="1"/>
      <w:marLeft w:val="0"/>
      <w:marRight w:val="0"/>
      <w:marTop w:val="0"/>
      <w:marBottom w:val="0"/>
      <w:divBdr>
        <w:top w:val="none" w:sz="0" w:space="0" w:color="auto"/>
        <w:left w:val="none" w:sz="0" w:space="0" w:color="auto"/>
        <w:bottom w:val="none" w:sz="0" w:space="0" w:color="auto"/>
        <w:right w:val="none" w:sz="0" w:space="0" w:color="auto"/>
      </w:divBdr>
    </w:div>
    <w:div w:id="1655404686">
      <w:bodyDiv w:val="1"/>
      <w:marLeft w:val="0"/>
      <w:marRight w:val="0"/>
      <w:marTop w:val="0"/>
      <w:marBottom w:val="0"/>
      <w:divBdr>
        <w:top w:val="none" w:sz="0" w:space="0" w:color="auto"/>
        <w:left w:val="none" w:sz="0" w:space="0" w:color="auto"/>
        <w:bottom w:val="none" w:sz="0" w:space="0" w:color="auto"/>
        <w:right w:val="none" w:sz="0" w:space="0" w:color="auto"/>
      </w:divBdr>
    </w:div>
    <w:div w:id="1663389859">
      <w:bodyDiv w:val="1"/>
      <w:marLeft w:val="0"/>
      <w:marRight w:val="0"/>
      <w:marTop w:val="0"/>
      <w:marBottom w:val="0"/>
      <w:divBdr>
        <w:top w:val="none" w:sz="0" w:space="0" w:color="auto"/>
        <w:left w:val="none" w:sz="0" w:space="0" w:color="auto"/>
        <w:bottom w:val="none" w:sz="0" w:space="0" w:color="auto"/>
        <w:right w:val="none" w:sz="0" w:space="0" w:color="auto"/>
      </w:divBdr>
    </w:div>
    <w:div w:id="1693343180">
      <w:bodyDiv w:val="1"/>
      <w:marLeft w:val="0"/>
      <w:marRight w:val="0"/>
      <w:marTop w:val="0"/>
      <w:marBottom w:val="0"/>
      <w:divBdr>
        <w:top w:val="none" w:sz="0" w:space="0" w:color="auto"/>
        <w:left w:val="none" w:sz="0" w:space="0" w:color="auto"/>
        <w:bottom w:val="none" w:sz="0" w:space="0" w:color="auto"/>
        <w:right w:val="none" w:sz="0" w:space="0" w:color="auto"/>
      </w:divBdr>
    </w:div>
    <w:div w:id="1721710466">
      <w:bodyDiv w:val="1"/>
      <w:marLeft w:val="0"/>
      <w:marRight w:val="0"/>
      <w:marTop w:val="0"/>
      <w:marBottom w:val="0"/>
      <w:divBdr>
        <w:top w:val="none" w:sz="0" w:space="0" w:color="auto"/>
        <w:left w:val="none" w:sz="0" w:space="0" w:color="auto"/>
        <w:bottom w:val="none" w:sz="0" w:space="0" w:color="auto"/>
        <w:right w:val="none" w:sz="0" w:space="0" w:color="auto"/>
      </w:divBdr>
    </w:div>
    <w:div w:id="1726760098">
      <w:bodyDiv w:val="1"/>
      <w:marLeft w:val="0"/>
      <w:marRight w:val="0"/>
      <w:marTop w:val="0"/>
      <w:marBottom w:val="0"/>
      <w:divBdr>
        <w:top w:val="none" w:sz="0" w:space="0" w:color="auto"/>
        <w:left w:val="none" w:sz="0" w:space="0" w:color="auto"/>
        <w:bottom w:val="none" w:sz="0" w:space="0" w:color="auto"/>
        <w:right w:val="none" w:sz="0" w:space="0" w:color="auto"/>
      </w:divBdr>
    </w:div>
    <w:div w:id="1731879092">
      <w:bodyDiv w:val="1"/>
      <w:marLeft w:val="0"/>
      <w:marRight w:val="0"/>
      <w:marTop w:val="0"/>
      <w:marBottom w:val="0"/>
      <w:divBdr>
        <w:top w:val="none" w:sz="0" w:space="0" w:color="auto"/>
        <w:left w:val="none" w:sz="0" w:space="0" w:color="auto"/>
        <w:bottom w:val="none" w:sz="0" w:space="0" w:color="auto"/>
        <w:right w:val="none" w:sz="0" w:space="0" w:color="auto"/>
      </w:divBdr>
    </w:div>
    <w:div w:id="1768428102">
      <w:bodyDiv w:val="1"/>
      <w:marLeft w:val="0"/>
      <w:marRight w:val="0"/>
      <w:marTop w:val="0"/>
      <w:marBottom w:val="0"/>
      <w:divBdr>
        <w:top w:val="none" w:sz="0" w:space="0" w:color="auto"/>
        <w:left w:val="none" w:sz="0" w:space="0" w:color="auto"/>
        <w:bottom w:val="none" w:sz="0" w:space="0" w:color="auto"/>
        <w:right w:val="none" w:sz="0" w:space="0" w:color="auto"/>
      </w:divBdr>
    </w:div>
    <w:div w:id="1781561365">
      <w:bodyDiv w:val="1"/>
      <w:marLeft w:val="0"/>
      <w:marRight w:val="0"/>
      <w:marTop w:val="0"/>
      <w:marBottom w:val="0"/>
      <w:divBdr>
        <w:top w:val="none" w:sz="0" w:space="0" w:color="auto"/>
        <w:left w:val="none" w:sz="0" w:space="0" w:color="auto"/>
        <w:bottom w:val="none" w:sz="0" w:space="0" w:color="auto"/>
        <w:right w:val="none" w:sz="0" w:space="0" w:color="auto"/>
      </w:divBdr>
    </w:div>
    <w:div w:id="1792935447">
      <w:bodyDiv w:val="1"/>
      <w:marLeft w:val="0"/>
      <w:marRight w:val="0"/>
      <w:marTop w:val="0"/>
      <w:marBottom w:val="0"/>
      <w:divBdr>
        <w:top w:val="none" w:sz="0" w:space="0" w:color="auto"/>
        <w:left w:val="none" w:sz="0" w:space="0" w:color="auto"/>
        <w:bottom w:val="none" w:sz="0" w:space="0" w:color="auto"/>
        <w:right w:val="none" w:sz="0" w:space="0" w:color="auto"/>
      </w:divBdr>
    </w:div>
    <w:div w:id="1831288257">
      <w:bodyDiv w:val="1"/>
      <w:marLeft w:val="0"/>
      <w:marRight w:val="0"/>
      <w:marTop w:val="0"/>
      <w:marBottom w:val="0"/>
      <w:divBdr>
        <w:top w:val="none" w:sz="0" w:space="0" w:color="auto"/>
        <w:left w:val="none" w:sz="0" w:space="0" w:color="auto"/>
        <w:bottom w:val="none" w:sz="0" w:space="0" w:color="auto"/>
        <w:right w:val="none" w:sz="0" w:space="0" w:color="auto"/>
      </w:divBdr>
    </w:div>
    <w:div w:id="1857621201">
      <w:bodyDiv w:val="1"/>
      <w:marLeft w:val="0"/>
      <w:marRight w:val="0"/>
      <w:marTop w:val="0"/>
      <w:marBottom w:val="0"/>
      <w:divBdr>
        <w:top w:val="none" w:sz="0" w:space="0" w:color="auto"/>
        <w:left w:val="none" w:sz="0" w:space="0" w:color="auto"/>
        <w:bottom w:val="none" w:sz="0" w:space="0" w:color="auto"/>
        <w:right w:val="none" w:sz="0" w:space="0" w:color="auto"/>
      </w:divBdr>
    </w:div>
    <w:div w:id="1878395065">
      <w:bodyDiv w:val="1"/>
      <w:marLeft w:val="0"/>
      <w:marRight w:val="0"/>
      <w:marTop w:val="0"/>
      <w:marBottom w:val="0"/>
      <w:divBdr>
        <w:top w:val="none" w:sz="0" w:space="0" w:color="auto"/>
        <w:left w:val="none" w:sz="0" w:space="0" w:color="auto"/>
        <w:bottom w:val="none" w:sz="0" w:space="0" w:color="auto"/>
        <w:right w:val="none" w:sz="0" w:space="0" w:color="auto"/>
      </w:divBdr>
      <w:divsChild>
        <w:div w:id="5353146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883057998">
      <w:bodyDiv w:val="1"/>
      <w:marLeft w:val="0"/>
      <w:marRight w:val="0"/>
      <w:marTop w:val="0"/>
      <w:marBottom w:val="0"/>
      <w:divBdr>
        <w:top w:val="none" w:sz="0" w:space="0" w:color="auto"/>
        <w:left w:val="none" w:sz="0" w:space="0" w:color="auto"/>
        <w:bottom w:val="none" w:sz="0" w:space="0" w:color="auto"/>
        <w:right w:val="none" w:sz="0" w:space="0" w:color="auto"/>
      </w:divBdr>
    </w:div>
    <w:div w:id="1971091248">
      <w:bodyDiv w:val="1"/>
      <w:marLeft w:val="0"/>
      <w:marRight w:val="0"/>
      <w:marTop w:val="0"/>
      <w:marBottom w:val="0"/>
      <w:divBdr>
        <w:top w:val="none" w:sz="0" w:space="0" w:color="auto"/>
        <w:left w:val="none" w:sz="0" w:space="0" w:color="auto"/>
        <w:bottom w:val="none" w:sz="0" w:space="0" w:color="auto"/>
        <w:right w:val="none" w:sz="0" w:space="0" w:color="auto"/>
      </w:divBdr>
    </w:div>
    <w:div w:id="1975988169">
      <w:bodyDiv w:val="1"/>
      <w:marLeft w:val="0"/>
      <w:marRight w:val="0"/>
      <w:marTop w:val="0"/>
      <w:marBottom w:val="0"/>
      <w:divBdr>
        <w:top w:val="none" w:sz="0" w:space="0" w:color="auto"/>
        <w:left w:val="none" w:sz="0" w:space="0" w:color="auto"/>
        <w:bottom w:val="none" w:sz="0" w:space="0" w:color="auto"/>
        <w:right w:val="none" w:sz="0" w:space="0" w:color="auto"/>
      </w:divBdr>
    </w:div>
    <w:div w:id="1998338709">
      <w:bodyDiv w:val="1"/>
      <w:marLeft w:val="0"/>
      <w:marRight w:val="0"/>
      <w:marTop w:val="0"/>
      <w:marBottom w:val="0"/>
      <w:divBdr>
        <w:top w:val="none" w:sz="0" w:space="0" w:color="auto"/>
        <w:left w:val="none" w:sz="0" w:space="0" w:color="auto"/>
        <w:bottom w:val="none" w:sz="0" w:space="0" w:color="auto"/>
        <w:right w:val="none" w:sz="0" w:space="0" w:color="auto"/>
      </w:divBdr>
    </w:div>
    <w:div w:id="2002387245">
      <w:bodyDiv w:val="1"/>
      <w:marLeft w:val="0"/>
      <w:marRight w:val="0"/>
      <w:marTop w:val="0"/>
      <w:marBottom w:val="0"/>
      <w:divBdr>
        <w:top w:val="none" w:sz="0" w:space="0" w:color="auto"/>
        <w:left w:val="none" w:sz="0" w:space="0" w:color="auto"/>
        <w:bottom w:val="none" w:sz="0" w:space="0" w:color="auto"/>
        <w:right w:val="none" w:sz="0" w:space="0" w:color="auto"/>
      </w:divBdr>
    </w:div>
    <w:div w:id="2006394039">
      <w:bodyDiv w:val="1"/>
      <w:marLeft w:val="0"/>
      <w:marRight w:val="0"/>
      <w:marTop w:val="0"/>
      <w:marBottom w:val="0"/>
      <w:divBdr>
        <w:top w:val="none" w:sz="0" w:space="0" w:color="auto"/>
        <w:left w:val="none" w:sz="0" w:space="0" w:color="auto"/>
        <w:bottom w:val="none" w:sz="0" w:space="0" w:color="auto"/>
        <w:right w:val="none" w:sz="0" w:space="0" w:color="auto"/>
      </w:divBdr>
    </w:div>
    <w:div w:id="2014216034">
      <w:bodyDiv w:val="1"/>
      <w:marLeft w:val="0"/>
      <w:marRight w:val="0"/>
      <w:marTop w:val="0"/>
      <w:marBottom w:val="0"/>
      <w:divBdr>
        <w:top w:val="none" w:sz="0" w:space="0" w:color="auto"/>
        <w:left w:val="none" w:sz="0" w:space="0" w:color="auto"/>
        <w:bottom w:val="none" w:sz="0" w:space="0" w:color="auto"/>
        <w:right w:val="none" w:sz="0" w:space="0" w:color="auto"/>
      </w:divBdr>
    </w:div>
    <w:div w:id="2024549088">
      <w:bodyDiv w:val="1"/>
      <w:marLeft w:val="0"/>
      <w:marRight w:val="0"/>
      <w:marTop w:val="0"/>
      <w:marBottom w:val="0"/>
      <w:divBdr>
        <w:top w:val="none" w:sz="0" w:space="0" w:color="auto"/>
        <w:left w:val="none" w:sz="0" w:space="0" w:color="auto"/>
        <w:bottom w:val="none" w:sz="0" w:space="0" w:color="auto"/>
        <w:right w:val="none" w:sz="0" w:space="0" w:color="auto"/>
      </w:divBdr>
    </w:div>
    <w:div w:id="2044819313">
      <w:bodyDiv w:val="1"/>
      <w:marLeft w:val="0"/>
      <w:marRight w:val="0"/>
      <w:marTop w:val="0"/>
      <w:marBottom w:val="0"/>
      <w:divBdr>
        <w:top w:val="none" w:sz="0" w:space="0" w:color="auto"/>
        <w:left w:val="none" w:sz="0" w:space="0" w:color="auto"/>
        <w:bottom w:val="none" w:sz="0" w:space="0" w:color="auto"/>
        <w:right w:val="none" w:sz="0" w:space="0" w:color="auto"/>
      </w:divBdr>
    </w:div>
    <w:div w:id="2052025214">
      <w:bodyDiv w:val="1"/>
      <w:marLeft w:val="0"/>
      <w:marRight w:val="0"/>
      <w:marTop w:val="0"/>
      <w:marBottom w:val="0"/>
      <w:divBdr>
        <w:top w:val="none" w:sz="0" w:space="0" w:color="auto"/>
        <w:left w:val="none" w:sz="0" w:space="0" w:color="auto"/>
        <w:bottom w:val="none" w:sz="0" w:space="0" w:color="auto"/>
        <w:right w:val="none" w:sz="0" w:space="0" w:color="auto"/>
      </w:divBdr>
    </w:div>
    <w:div w:id="2054501108">
      <w:bodyDiv w:val="1"/>
      <w:marLeft w:val="0"/>
      <w:marRight w:val="0"/>
      <w:marTop w:val="0"/>
      <w:marBottom w:val="0"/>
      <w:divBdr>
        <w:top w:val="none" w:sz="0" w:space="0" w:color="auto"/>
        <w:left w:val="none" w:sz="0" w:space="0" w:color="auto"/>
        <w:bottom w:val="none" w:sz="0" w:space="0" w:color="auto"/>
        <w:right w:val="none" w:sz="0" w:space="0" w:color="auto"/>
      </w:divBdr>
    </w:div>
    <w:div w:id="2071031846">
      <w:bodyDiv w:val="1"/>
      <w:marLeft w:val="0"/>
      <w:marRight w:val="0"/>
      <w:marTop w:val="0"/>
      <w:marBottom w:val="0"/>
      <w:divBdr>
        <w:top w:val="none" w:sz="0" w:space="0" w:color="auto"/>
        <w:left w:val="none" w:sz="0" w:space="0" w:color="auto"/>
        <w:bottom w:val="none" w:sz="0" w:space="0" w:color="auto"/>
        <w:right w:val="none" w:sz="0" w:space="0" w:color="auto"/>
      </w:divBdr>
    </w:div>
    <w:div w:id="2078087881">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 w:id="21159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4290</Words>
  <Characters>24454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6</cp:revision>
  <dcterms:created xsi:type="dcterms:W3CDTF">2020-07-01T12:02:00Z</dcterms:created>
  <dcterms:modified xsi:type="dcterms:W3CDTF">2020-07-01T16:11:00Z</dcterms:modified>
</cp:coreProperties>
</file>